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0" w:leftChars="100" w:right="69" w:rightChars="33" w:firstLine="8011" w:firstLineChars="950"/>
        <w:rPr>
          <w:b/>
          <w:bCs/>
          <w:color w:val="000000"/>
          <w:sz w:val="84"/>
        </w:rPr>
      </w:pPr>
      <w:bookmarkStart w:id="0" w:name="SectionMark0"/>
      <w:r>
        <w:rPr>
          <w:b/>
          <w:bCs/>
          <w:color w:val="000000"/>
          <w:sz w:val="84"/>
        </w:rPr>
        <mc:AlternateContent>
          <mc:Choice Requires="wps">
            <w:drawing>
              <wp:anchor distT="0" distB="0" distL="114300" distR="114300" simplePos="0" relativeHeight="251666432" behindDoc="0" locked="0" layoutInCell="1" allowOverlap="1">
                <wp:simplePos x="0" y="0"/>
                <wp:positionH relativeFrom="column">
                  <wp:posOffset>35560</wp:posOffset>
                </wp:positionH>
                <wp:positionV relativeFrom="paragraph">
                  <wp:posOffset>107950</wp:posOffset>
                </wp:positionV>
                <wp:extent cx="1440815" cy="511810"/>
                <wp:effectExtent l="0" t="0" r="26035" b="21590"/>
                <wp:wrapNone/>
                <wp:docPr id="2" name="文本框 2"/>
                <wp:cNvGraphicFramePr/>
                <a:graphic xmlns:a="http://schemas.openxmlformats.org/drawingml/2006/main">
                  <a:graphicData uri="http://schemas.microsoft.com/office/word/2010/wordprocessingShape">
                    <wps:wsp>
                      <wps:cNvSpPr txBox="1"/>
                      <wps:spPr>
                        <a:xfrm>
                          <a:off x="0" y="0"/>
                          <a:ext cx="1441094" cy="512064"/>
                        </a:xfrm>
                        <a:prstGeom prst="rect">
                          <a:avLst/>
                        </a:prstGeom>
                        <a:solidFill>
                          <a:schemeClr val="lt1"/>
                        </a:solidFill>
                        <a:ln w="6350">
                          <a:solidFill>
                            <a:prstClr val="black"/>
                          </a:solidFill>
                        </a:ln>
                      </wps:spPr>
                      <wps:txbx>
                        <w:txbxContent>
                          <w:p>
                            <w:pPr>
                              <w:pStyle w:val="31"/>
                            </w:pPr>
                            <w:r>
                              <w:t xml:space="preserve">ICS </w:t>
                            </w:r>
                            <w:r>
                              <w:rPr>
                                <w:color w:val="FF0000"/>
                              </w:rPr>
                              <w:t>65.14</w:t>
                            </w:r>
                          </w:p>
                          <w:p>
                            <w:pPr>
                              <w:pStyle w:val="31"/>
                              <w:rPr>
                                <w:color w:val="000000" w:themeColor="text1"/>
                                <w14:textFill>
                                  <w14:solidFill>
                                    <w14:schemeClr w14:val="tx1"/>
                                  </w14:solidFill>
                                </w14:textFill>
                              </w:rPr>
                            </w:pPr>
                            <w:r>
                              <w:rPr>
                                <w:color w:val="000000" w:themeColor="text1"/>
                                <w14:textFill>
                                  <w14:solidFill>
                                    <w14:schemeClr w14:val="tx1"/>
                                  </w14:solidFill>
                                </w14:textFill>
                              </w:rPr>
                              <w:t>CCS B 47</w:t>
                            </w:r>
                          </w:p>
                          <w:p>
                            <w:pPr>
                              <w:rPr>
                                <w:color w:val="FF000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pt;margin-top:8.5pt;height:40.3pt;width:113.45pt;z-index:251666432;mso-width-relative:page;mso-height-relative:page;" fillcolor="#FFFFFF [3201]" filled="t" stroked="t" coordsize="21600,21600" o:gfxdata="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M0JJO1QAAAAcB&#10;AAAPAAAAAAAAAAEAIAAAACIAAABkcnMvZG93bnJldi54bWxQSwECFAAUAAAACACHTuJAYn91RFcC&#10;AAC3BAAADgAAAAAAAAABACAAAAAkAQAAZHJzL2Uyb0RvYy54bWxQSwUGAAAAAAYABgBZAQAA7QUA&#10;AAAA&#10;">
                <v:fill on="t" focussize="0,0"/>
                <v:stroke weight="0.5pt" color="#000000" joinstyle="round"/>
                <v:imagedata o:title=""/>
                <o:lock v:ext="edit" aspectratio="f"/>
                <v:textbox>
                  <w:txbxContent>
                    <w:p>
                      <w:pPr>
                        <w:pStyle w:val="31"/>
                      </w:pPr>
                      <w:r>
                        <w:t xml:space="preserve">ICS </w:t>
                      </w:r>
                      <w:r>
                        <w:rPr>
                          <w:color w:val="FF0000"/>
                        </w:rPr>
                        <w:t>65.14</w:t>
                      </w:r>
                    </w:p>
                    <w:p>
                      <w:pPr>
                        <w:pStyle w:val="31"/>
                        <w:rPr>
                          <w:color w:val="000000" w:themeColor="text1"/>
                          <w14:textFill>
                            <w14:solidFill>
                              <w14:schemeClr w14:val="tx1"/>
                            </w14:solidFill>
                          </w14:textFill>
                        </w:rPr>
                      </w:pPr>
                      <w:r>
                        <w:rPr>
                          <w:color w:val="000000" w:themeColor="text1"/>
                          <w14:textFill>
                            <w14:solidFill>
                              <w14:schemeClr w14:val="tx1"/>
                            </w14:solidFill>
                          </w14:textFill>
                        </w:rPr>
                        <w:t>CCS B 47</w:t>
                      </w:r>
                    </w:p>
                    <w:p>
                      <w:pPr>
                        <w:rPr>
                          <w:color w:val="FF0000"/>
                        </w:rPr>
                      </w:pPr>
                    </w:p>
                  </w:txbxContent>
                </v:textbox>
              </v:shape>
            </w:pict>
          </mc:Fallback>
        </mc:AlternateContent>
      </w:r>
      <w:r>
        <w:rPr>
          <w:b/>
          <w:bCs/>
          <w:color w:val="000000"/>
          <w:sz w:val="84"/>
        </w:rPr>
        <w:t>NY</w:t>
      </w:r>
    </w:p>
    <w:p>
      <w:pPr>
        <w:wordWrap w:val="0"/>
        <w:ind w:left="210" w:leftChars="100" w:right="69" w:rightChars="33" w:firstLine="2098" w:firstLineChars="950"/>
        <w:jc w:val="right"/>
        <w:rPr>
          <w:b/>
          <w:bCs/>
          <w:color w:val="000000"/>
          <w:sz w:val="22"/>
          <w:szCs w:val="6"/>
        </w:rPr>
      </w:pPr>
    </w:p>
    <w:p>
      <w:pPr>
        <w:ind w:left="210" w:leftChars="100" w:right="69" w:rightChars="33" w:firstLine="2098" w:firstLineChars="950"/>
        <w:jc w:val="right"/>
        <w:rPr>
          <w:b/>
          <w:bCs/>
          <w:color w:val="000000"/>
          <w:sz w:val="22"/>
          <w:szCs w:val="6"/>
        </w:rPr>
      </w:pPr>
    </w:p>
    <w:p>
      <w:pPr>
        <w:ind w:left="210" w:leftChars="100" w:right="69" w:rightChars="33" w:firstLine="2098" w:firstLineChars="950"/>
        <w:jc w:val="right"/>
        <w:rPr>
          <w:b/>
          <w:bCs/>
          <w:color w:val="000000"/>
          <w:sz w:val="22"/>
          <w:szCs w:val="6"/>
        </w:rPr>
      </w:pPr>
    </w:p>
    <w:p>
      <w:pPr>
        <w:ind w:left="210" w:leftChars="100" w:right="69" w:rightChars="33" w:firstLine="1995" w:firstLineChars="950"/>
        <w:jc w:val="right"/>
        <w:rPr>
          <w:b/>
          <w:bCs/>
          <w:color w:val="000000"/>
          <w:sz w:val="22"/>
          <w:szCs w:val="6"/>
        </w:rPr>
      </w:pPr>
      <w:r>
        <w:rPr>
          <w:color w:val="000000" w:themeColor="text1"/>
          <w14:textFill>
            <w14:solidFill>
              <w14:schemeClr w14:val="tx1"/>
            </w14:solidFill>
          </w14:textFill>
        </w:rPr>
        <w:t>NY/T ××××—××××</w:t>
      </w:r>
    </w:p>
    <w:p>
      <w:pPr>
        <w:pStyle w:val="26"/>
        <w:spacing w:line="276" w:lineRule="auto"/>
        <w:ind w:right="69" w:rightChars="33"/>
      </w:pPr>
      <w:r>
        <w:rPr>
          <w:b/>
          <w:bCs/>
          <w:color w:val="000000"/>
          <w:sz w:val="84"/>
        </w:rPr>
        <mc:AlternateContent>
          <mc:Choice Requires="wps">
            <w:drawing>
              <wp:anchor distT="0" distB="0" distL="114300" distR="114300" simplePos="0" relativeHeight="251667456" behindDoc="0" locked="0" layoutInCell="1" allowOverlap="1">
                <wp:simplePos x="0" y="0"/>
                <wp:positionH relativeFrom="column">
                  <wp:posOffset>140335</wp:posOffset>
                </wp:positionH>
                <wp:positionV relativeFrom="paragraph">
                  <wp:posOffset>67945</wp:posOffset>
                </wp:positionV>
                <wp:extent cx="6115685" cy="7620"/>
                <wp:effectExtent l="0" t="0" r="19050" b="31115"/>
                <wp:wrapNone/>
                <wp:docPr id="10" name="直接连接符 10"/>
                <wp:cNvGraphicFramePr/>
                <a:graphic xmlns:a="http://schemas.openxmlformats.org/drawingml/2006/main">
                  <a:graphicData uri="http://schemas.microsoft.com/office/word/2010/wordprocessingShape">
                    <wps:wsp>
                      <wps:cNvCnPr/>
                      <wps:spPr>
                        <a:xfrm flipV="1">
                          <a:off x="0" y="0"/>
                          <a:ext cx="6115507" cy="73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1.05pt;margin-top:5.35pt;height:0.6pt;width:481.55pt;z-index:251667456;mso-width-relative:page;mso-height-relative:page;" filled="f" stroked="t" coordsize="21600,21600" o:gfxdata="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oRFTkNUAAAAIAQAADwAAAAAAAAABACAAAAAiAAAAZHJzL2Rvd25yZXYueG1s&#10;UEsBAhQAFAAAAAgAh07iQIwLm3H7AQAA4gMAAA4AAAAAAAAAAQAgAAAAJAEAAGRycy9lMm9Eb2Mu&#10;eG1sUEsFBgAAAAAGAAYAWQEAAJEFAAAAAA==&#10;">
                <v:fill on="f" focussize="0,0"/>
                <v:stroke color="#000000 [3200]" joinstyle="round"/>
                <v:imagedata o:title=""/>
                <o:lock v:ext="edit" aspectratio="f"/>
              </v:lin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228600</wp:posOffset>
                </wp:positionH>
                <wp:positionV relativeFrom="paragraph">
                  <wp:posOffset>1089025</wp:posOffset>
                </wp:positionV>
                <wp:extent cx="6121400" cy="0"/>
                <wp:effectExtent l="0" t="0" r="0" b="0"/>
                <wp:wrapNone/>
                <wp:docPr id="8" name="Line 7"/>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7" o:spid="_x0000_s1026" o:spt="20" style="position:absolute;left:0pt;margin-left:18pt;margin-top:85.75pt;height:0pt;width:482pt;z-index:251664384;mso-width-relative:page;mso-height-relative:page;" filled="f" stroked="t" coordsize="21600,21600" o:gfxdata="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GRjktYAAAALAQAADwAAAAAAAAABACAAAAAiAAAAZHJzL2Rvd25y&#10;ZXYueG1sUEsBAhQAFAAAAAgAh07iQDXNPtHHAQAAoAMAAA4AAAAAAAAAAQAgAAAAJQEAAGRycy9l&#10;Mm9Eb2MueG1sUEsFBgAAAAAGAAYAWQEAAF4FA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4033520</wp:posOffset>
                </wp:positionH>
                <wp:positionV relativeFrom="margin">
                  <wp:posOffset>8302625</wp:posOffset>
                </wp:positionV>
                <wp:extent cx="1905000" cy="312420"/>
                <wp:effectExtent l="0" t="0" r="0" b="0"/>
                <wp:wrapNone/>
                <wp:docPr id="7" name="fmFrame6"/>
                <wp:cNvGraphicFramePr/>
                <a:graphic xmlns:a="http://schemas.openxmlformats.org/drawingml/2006/main">
                  <a:graphicData uri="http://schemas.microsoft.com/office/word/2010/wordprocessingShape">
                    <wps:wsp>
                      <wps:cNvSpPr txBox="1">
                        <a:spLocks noChangeArrowheads="1"/>
                      </wps:cNvSpPr>
                      <wps:spPr bwMode="auto">
                        <a:xfrm>
                          <a:off x="0" y="0"/>
                          <a:ext cx="1905000" cy="312420"/>
                        </a:xfrm>
                        <a:prstGeom prst="rect">
                          <a:avLst/>
                        </a:prstGeom>
                        <a:solidFill>
                          <a:srgbClr val="FFFFFF"/>
                        </a:solidFill>
                        <a:ln>
                          <a:noFill/>
                        </a:ln>
                      </wps:spPr>
                      <wps:txbx>
                        <w:txbxContent>
                          <w:p>
                            <w:pPr>
                              <w:pStyle w:val="16"/>
                              <w:rPr>
                                <w:color w:val="000000" w:themeColor="text1"/>
                                <w14:textFill>
                                  <w14:solidFill>
                                    <w14:schemeClr w14:val="tx1"/>
                                  </w14:solidFill>
                                </w14:textFill>
                              </w:rPr>
                            </w:pPr>
                            <w:r>
                              <w:rPr>
                                <w:color w:val="000000" w:themeColor="text1"/>
                                <w14:textFill>
                                  <w14:solidFill>
                                    <w14:schemeClr w14:val="tx1"/>
                                  </w14:solidFill>
                                </w14:textFill>
                              </w:rPr>
                              <w:t>××××-××-××实施</w:t>
                            </w:r>
                          </w:p>
                          <w:p>
                            <w:pPr>
                              <w:pStyle w:val="16"/>
                            </w:pP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17.6pt;margin-top:653.75pt;height:24.6pt;width:150pt;mso-position-horizontal-relative:margin;mso-position-vertical-relative:margin;z-index:251662336;mso-width-relative:page;mso-height-relative:page;" fillcolor="#FFFFFF" filled="t" stroked="f" coordsize="21600,21600" o:gfxdata="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8yTD2QAAAA0BAAAPAAAAAAAAAAEA&#10;IAAAACIAAABkcnMvZG93bnJldi54bWxQSwECFAAUAAAACACHTuJArHns0w4CAAArBAAADgAAAAAA&#10;AAABACAAAAAoAQAAZHJzL2Uyb0RvYy54bWxQSwUGAAAAAAYABgBZAQAAqAUAAAAA&#10;">
                <v:fill on="t" focussize="0,0"/>
                <v:stroke on="f"/>
                <v:imagedata o:title=""/>
                <o:lock v:ext="edit" aspectratio="f"/>
                <v:textbox inset="0mm,0mm,0mm,0mm">
                  <w:txbxContent>
                    <w:p>
                      <w:pPr>
                        <w:pStyle w:val="16"/>
                        <w:rPr>
                          <w:color w:val="000000" w:themeColor="text1"/>
                          <w14:textFill>
                            <w14:solidFill>
                              <w14:schemeClr w14:val="tx1"/>
                            </w14:solidFill>
                          </w14:textFill>
                        </w:rPr>
                      </w:pPr>
                      <w:r>
                        <w:rPr>
                          <w:color w:val="000000" w:themeColor="text1"/>
                          <w14:textFill>
                            <w14:solidFill>
                              <w14:schemeClr w14:val="tx1"/>
                            </w14:solidFill>
                          </w14:textFill>
                        </w:rPr>
                        <w:t>××××-××-××实施</w:t>
                      </w:r>
                    </w:p>
                    <w:p>
                      <w:pPr>
                        <w:pStyle w:val="16"/>
                      </w:pP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14605</wp:posOffset>
                </wp:positionH>
                <wp:positionV relativeFrom="margin">
                  <wp:posOffset>8204200</wp:posOffset>
                </wp:positionV>
                <wp:extent cx="1952625" cy="312420"/>
                <wp:effectExtent l="0" t="0" r="9525" b="0"/>
                <wp:wrapNone/>
                <wp:docPr id="6" name="fmFrame5"/>
                <wp:cNvGraphicFramePr/>
                <a:graphic xmlns:a="http://schemas.openxmlformats.org/drawingml/2006/main">
                  <a:graphicData uri="http://schemas.microsoft.com/office/word/2010/wordprocessingShape">
                    <wps:wsp>
                      <wps:cNvSpPr txBox="1">
                        <a:spLocks noChangeArrowheads="1"/>
                      </wps:cNvSpPr>
                      <wps:spPr bwMode="auto">
                        <a:xfrm>
                          <a:off x="0" y="0"/>
                          <a:ext cx="1952625" cy="312420"/>
                        </a:xfrm>
                        <a:prstGeom prst="rect">
                          <a:avLst/>
                        </a:prstGeom>
                        <a:solidFill>
                          <a:srgbClr val="FFFFFF"/>
                        </a:solidFill>
                        <a:ln>
                          <a:noFill/>
                        </a:ln>
                      </wps:spPr>
                      <wps:txbx>
                        <w:txbxContent>
                          <w:p>
                            <w:pPr>
                              <w:widowControl/>
                              <w:numPr>
                                <w:ilvl w:val="0"/>
                                <w:numId w:val="1"/>
                              </w:numPr>
                              <w:ind w:left="0"/>
                              <w:jc w:val="left"/>
                              <w:rPr>
                                <w:rFonts w:eastAsia="黑体"/>
                                <w:color w:val="000000" w:themeColor="text1"/>
                                <w:kern w:val="0"/>
                                <w:sz w:val="28"/>
                                <w:szCs w:val="20"/>
                                <w14:textFill>
                                  <w14:solidFill>
                                    <w14:schemeClr w14:val="tx1"/>
                                  </w14:solidFill>
                                </w14:textFill>
                              </w:rPr>
                            </w:pPr>
                            <w:r>
                              <w:rPr>
                                <w:rFonts w:eastAsia="黑体"/>
                                <w:color w:val="000000" w:themeColor="text1"/>
                                <w:kern w:val="0"/>
                                <w:sz w:val="28"/>
                                <w:szCs w:val="20"/>
                                <w14:textFill>
                                  <w14:solidFill>
                                    <w14:schemeClr w14:val="tx1"/>
                                  </w14:solidFill>
                                </w14:textFill>
                              </w:rPr>
                              <w:t>××××-××-××发布</w:t>
                            </w:r>
                          </w:p>
                          <w:p>
                            <w:pPr>
                              <w:pStyle w:val="17"/>
                            </w:pP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1.15pt;margin-top:646pt;height:24.6pt;width:153.75pt;mso-position-horizontal-relative:margin;mso-position-vertical-relative:margin;z-index:251661312;mso-width-relative:page;mso-height-relative:page;" fillcolor="#FFFFFF" filled="t" stroked="f" coordsize="21600,21600" o:gfxdata="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qcZka2AAAAAsBAAAPAAAAAAAAAAEA&#10;IAAAACIAAABkcnMvZG93bnJldi54bWxQSwECFAAUAAAACACHTuJAxF/o0g8CAAArBAAADgAAAAAA&#10;AAABACAAAAAnAQAAZHJzL2Uyb0RvYy54bWxQSwUGAAAAAAYABgBZAQAAqAUAAAAA&#10;">
                <v:fill on="t" focussize="0,0"/>
                <v:stroke on="f"/>
                <v:imagedata o:title=""/>
                <o:lock v:ext="edit" aspectratio="f"/>
                <v:textbox inset="0mm,0mm,0mm,0mm">
                  <w:txbxContent>
                    <w:p>
                      <w:pPr>
                        <w:widowControl/>
                        <w:numPr>
                          <w:ilvl w:val="0"/>
                          <w:numId w:val="1"/>
                        </w:numPr>
                        <w:ind w:left="0"/>
                        <w:jc w:val="left"/>
                        <w:rPr>
                          <w:rFonts w:eastAsia="黑体"/>
                          <w:color w:val="000000" w:themeColor="text1"/>
                          <w:kern w:val="0"/>
                          <w:sz w:val="28"/>
                          <w:szCs w:val="20"/>
                          <w14:textFill>
                            <w14:solidFill>
                              <w14:schemeClr w14:val="tx1"/>
                            </w14:solidFill>
                          </w14:textFill>
                        </w:rPr>
                      </w:pPr>
                      <w:r>
                        <w:rPr>
                          <w:rFonts w:eastAsia="黑体"/>
                          <w:color w:val="000000" w:themeColor="text1"/>
                          <w:kern w:val="0"/>
                          <w:sz w:val="28"/>
                          <w:szCs w:val="20"/>
                          <w14:textFill>
                            <w14:solidFill>
                              <w14:schemeClr w14:val="tx1"/>
                            </w14:solidFill>
                          </w14:textFill>
                        </w:rPr>
                        <w:t>××××-××-××发布</w:t>
                      </w:r>
                    </w:p>
                    <w:p>
                      <w:pPr>
                        <w:pStyle w:val="17"/>
                      </w:pPr>
                    </w:p>
                  </w:txbxContent>
                </v:textbox>
                <w10:anchorlock/>
              </v:shape>
            </w:pict>
          </mc:Fallback>
        </mc:AlternateContent>
      </w:r>
      <w:bookmarkStart w:id="23" w:name="_GoBack"/>
      <w:bookmarkEnd w:id="23"/>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3635375</wp:posOffset>
                </wp:positionV>
                <wp:extent cx="5969000" cy="4386580"/>
                <wp:effectExtent l="0" t="0" r="0" b="0"/>
                <wp:wrapNone/>
                <wp:docPr id="5" name="fmFrame4"/>
                <wp:cNvGraphicFramePr/>
                <a:graphic xmlns:a="http://schemas.openxmlformats.org/drawingml/2006/main">
                  <a:graphicData uri="http://schemas.microsoft.com/office/word/2010/wordprocessingShape">
                    <wps:wsp>
                      <wps:cNvSpPr txBox="1">
                        <a:spLocks noChangeArrowheads="1"/>
                      </wps:cNvSpPr>
                      <wps:spPr bwMode="auto">
                        <a:xfrm>
                          <a:off x="0" y="0"/>
                          <a:ext cx="5969000" cy="4386580"/>
                        </a:xfrm>
                        <a:prstGeom prst="rect">
                          <a:avLst/>
                        </a:prstGeom>
                        <a:solidFill>
                          <a:srgbClr val="FFFFFF"/>
                        </a:solidFill>
                        <a:ln>
                          <a:noFill/>
                        </a:ln>
                      </wps:spPr>
                      <wps:txbx>
                        <w:txbxContent>
                          <w:p>
                            <w:pPr>
                              <w:pStyle w:val="23"/>
                              <w:rPr>
                                <w:rFonts w:ascii="Times New Roman"/>
                                <w:b/>
                                <w:szCs w:val="52"/>
                              </w:rPr>
                            </w:pPr>
                            <w:r>
                              <w:rPr>
                                <w:rFonts w:ascii="Times New Roman"/>
                                <w:b/>
                                <w:szCs w:val="52"/>
                              </w:rPr>
                              <w:t>蜂王浆中酮胺类糖化蛋白的测定 分光光度法</w:t>
                            </w:r>
                          </w:p>
                          <w:p>
                            <w:pPr>
                              <w:pStyle w:val="24"/>
                              <w:rPr>
                                <w:rFonts w:hint="eastAsia" w:ascii="Times New Roman" w:eastAsia="宋体"/>
                                <w:color w:val="2B2B2B"/>
                                <w:sz w:val="28"/>
                                <w:lang w:eastAsia="zh-CN"/>
                              </w:rPr>
                            </w:pPr>
                            <w:r>
                              <w:rPr>
                                <w:rFonts w:ascii="Times New Roman"/>
                                <w:color w:val="2B2B2B"/>
                                <w:sz w:val="28"/>
                              </w:rPr>
                              <w:t>Determination of keto-amine glycosylated proteins in royal jelly</w:t>
                            </w:r>
                            <w:r>
                              <w:rPr>
                                <w:rFonts w:hint="eastAsia" w:ascii="Times New Roman"/>
                                <w:color w:val="2B2B2B"/>
                                <w:sz w:val="28"/>
                                <w:lang w:val="en-US" w:eastAsia="zh-CN"/>
                              </w:rPr>
                              <w:t>-</w:t>
                            </w:r>
                          </w:p>
                          <w:p>
                            <w:pPr>
                              <w:pStyle w:val="24"/>
                              <w:rPr>
                                <w:rFonts w:ascii="Times New Roman"/>
                                <w:color w:val="2B2B2B"/>
                                <w:sz w:val="28"/>
                              </w:rPr>
                            </w:pPr>
                            <w:r>
                              <w:rPr>
                                <w:rFonts w:ascii="Times New Roman"/>
                                <w:color w:val="2B2B2B"/>
                                <w:sz w:val="28"/>
                              </w:rPr>
                              <w:t>Spectrophotometric method</w:t>
                            </w:r>
                          </w:p>
                          <w:p>
                            <w:pPr>
                              <w:pStyle w:val="24"/>
                              <w:rPr>
                                <w:rFonts w:ascii="Times New Roman"/>
                              </w:rPr>
                            </w:pPr>
                            <w:r>
                              <w:rPr>
                                <w:rFonts w:ascii="Times New Roman"/>
                              </w:rPr>
                              <w:t>（</w:t>
                            </w:r>
                            <w:r>
                              <w:rPr>
                                <w:rFonts w:ascii="Times New Roman"/>
                                <w:color w:val="auto"/>
                              </w:rPr>
                              <w:t>公开征求意见稿</w:t>
                            </w:r>
                            <w:r>
                              <w:rPr>
                                <w:rFonts w:ascii="Times New Roman"/>
                              </w:rPr>
                              <w:t>）</w:t>
                            </w:r>
                          </w:p>
                          <w:p>
                            <w:pPr>
                              <w:pStyle w:val="15"/>
                              <w:rPr>
                                <w:rFonts w:ascii="Times New Roman"/>
                              </w:rPr>
                            </w:pPr>
                          </w:p>
                          <w:p>
                            <w:pPr>
                              <w:pStyle w:val="32"/>
                              <w:rPr>
                                <w:rFonts w:ascii="Times New Roman"/>
                                <w:color w:val="000000"/>
                              </w:rPr>
                            </w:pPr>
                            <w:r>
                              <w:rPr>
                                <w:rFonts w:ascii="Times New Roman"/>
                                <w:color w:val="000000" w:themeColor="text1"/>
                                <w14:textFill>
                                  <w14:solidFill>
                                    <w14:schemeClr w14:val="tx1"/>
                                  </w14:solidFill>
                                </w14:textFill>
                              </w:rPr>
                              <w:t>（本稿完成日期：2022-11-21）</w:t>
                            </w:r>
                          </w:p>
                          <w:p>
                            <w:pPr>
                              <w:pStyle w:val="15"/>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86.25pt;height:345.4pt;width:470pt;mso-position-horizontal-relative:margin;mso-position-vertical-relative:margin;z-index:251660288;mso-width-relative:page;mso-height-relative:page;" fillcolor="#FFFFFF" filled="t" stroked="f" coordsize="21600,21600" o:gfxdata="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Om/cu2QAAAAkBAAAPAAAAAAAA&#10;AAEAIAAAACIAAABkcnMvZG93bnJldi54bWxQSwECFAAUAAAACACHTuJAk5x3eRECAAAsBAAADgAA&#10;AAAAAAABACAAAAAoAQAAZHJzL2Uyb0RvYy54bWxQSwUGAAAAAAYABgBZAQAAqwUAAAAA&#10;">
                <v:fill on="t" focussize="0,0"/>
                <v:stroke on="f"/>
                <v:imagedata o:title=""/>
                <o:lock v:ext="edit" aspectratio="f"/>
                <v:textbox inset="0mm,0mm,0mm,0mm">
                  <w:txbxContent>
                    <w:p>
                      <w:pPr>
                        <w:pStyle w:val="23"/>
                        <w:rPr>
                          <w:rFonts w:ascii="Times New Roman"/>
                          <w:b/>
                          <w:szCs w:val="52"/>
                        </w:rPr>
                      </w:pPr>
                      <w:r>
                        <w:rPr>
                          <w:rFonts w:ascii="Times New Roman"/>
                          <w:b/>
                          <w:szCs w:val="52"/>
                        </w:rPr>
                        <w:t>蜂王浆中酮胺类糖化蛋白的测定 分光光度法</w:t>
                      </w:r>
                    </w:p>
                    <w:p>
                      <w:pPr>
                        <w:pStyle w:val="24"/>
                        <w:rPr>
                          <w:rFonts w:hint="eastAsia" w:ascii="Times New Roman" w:eastAsia="宋体"/>
                          <w:color w:val="2B2B2B"/>
                          <w:sz w:val="28"/>
                          <w:lang w:eastAsia="zh-CN"/>
                        </w:rPr>
                      </w:pPr>
                      <w:r>
                        <w:rPr>
                          <w:rFonts w:ascii="Times New Roman"/>
                          <w:color w:val="2B2B2B"/>
                          <w:sz w:val="28"/>
                        </w:rPr>
                        <w:t>Determination of keto-amine glycosylated proteins in royal jelly</w:t>
                      </w:r>
                      <w:r>
                        <w:rPr>
                          <w:rFonts w:hint="eastAsia" w:ascii="Times New Roman"/>
                          <w:color w:val="2B2B2B"/>
                          <w:sz w:val="28"/>
                          <w:lang w:val="en-US" w:eastAsia="zh-CN"/>
                        </w:rPr>
                        <w:t>-</w:t>
                      </w:r>
                    </w:p>
                    <w:p>
                      <w:pPr>
                        <w:pStyle w:val="24"/>
                        <w:rPr>
                          <w:rFonts w:ascii="Times New Roman"/>
                          <w:color w:val="2B2B2B"/>
                          <w:sz w:val="28"/>
                        </w:rPr>
                      </w:pPr>
                      <w:r>
                        <w:rPr>
                          <w:rFonts w:ascii="Times New Roman"/>
                          <w:color w:val="2B2B2B"/>
                          <w:sz w:val="28"/>
                        </w:rPr>
                        <w:t>Spectrophotometric method</w:t>
                      </w:r>
                    </w:p>
                    <w:p>
                      <w:pPr>
                        <w:pStyle w:val="24"/>
                        <w:rPr>
                          <w:rFonts w:ascii="Times New Roman"/>
                        </w:rPr>
                      </w:pPr>
                      <w:r>
                        <w:rPr>
                          <w:rFonts w:ascii="Times New Roman"/>
                        </w:rPr>
                        <w:t>（</w:t>
                      </w:r>
                      <w:r>
                        <w:rPr>
                          <w:rFonts w:ascii="Times New Roman"/>
                          <w:color w:val="auto"/>
                        </w:rPr>
                        <w:t>公开征求意见稿</w:t>
                      </w:r>
                      <w:r>
                        <w:rPr>
                          <w:rFonts w:ascii="Times New Roman"/>
                        </w:rPr>
                        <w:t>）</w:t>
                      </w:r>
                    </w:p>
                    <w:p>
                      <w:pPr>
                        <w:pStyle w:val="15"/>
                        <w:rPr>
                          <w:rFonts w:ascii="Times New Roman"/>
                        </w:rPr>
                      </w:pPr>
                    </w:p>
                    <w:p>
                      <w:pPr>
                        <w:pStyle w:val="32"/>
                        <w:rPr>
                          <w:rFonts w:ascii="Times New Roman"/>
                          <w:color w:val="000000"/>
                        </w:rPr>
                      </w:pPr>
                      <w:r>
                        <w:rPr>
                          <w:rFonts w:ascii="Times New Roman"/>
                          <w:color w:val="000000" w:themeColor="text1"/>
                          <w14:textFill>
                            <w14:solidFill>
                              <w14:schemeClr w14:val="tx1"/>
                            </w14:solidFill>
                          </w14:textFill>
                        </w:rPr>
                        <w:t>（本稿完成日期：2022-11-21）</w:t>
                      </w:r>
                    </w:p>
                    <w:p>
                      <w:pPr>
                        <w:pStyle w:val="15"/>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146050</wp:posOffset>
                </wp:positionH>
                <wp:positionV relativeFrom="margin">
                  <wp:posOffset>710565</wp:posOffset>
                </wp:positionV>
                <wp:extent cx="6057900" cy="474980"/>
                <wp:effectExtent l="0" t="0" r="0" b="0"/>
                <wp:wrapNone/>
                <wp:docPr id="1" name="fmFrame2"/>
                <wp:cNvGraphicFramePr/>
                <a:graphic xmlns:a="http://schemas.openxmlformats.org/drawingml/2006/main">
                  <a:graphicData uri="http://schemas.microsoft.com/office/word/2010/wordprocessingShape">
                    <wps:wsp>
                      <wps:cNvSpPr txBox="1">
                        <a:spLocks noChangeArrowheads="1"/>
                      </wps:cNvSpPr>
                      <wps:spPr bwMode="auto">
                        <a:xfrm>
                          <a:off x="0" y="0"/>
                          <a:ext cx="6057900" cy="474980"/>
                        </a:xfrm>
                        <a:prstGeom prst="rect">
                          <a:avLst/>
                        </a:prstGeom>
                        <a:solidFill>
                          <a:srgbClr val="FFFFFF"/>
                        </a:solidFill>
                        <a:ln>
                          <a:noFill/>
                        </a:ln>
                      </wps:spPr>
                      <wps:txbx>
                        <w:txbxContent>
                          <w:p>
                            <w:pPr>
                              <w:jc w:val="center"/>
                            </w:pPr>
                            <w:r>
                              <w:rPr>
                                <w:rFonts w:hint="eastAsia" w:eastAsia="黑体"/>
                                <w:bCs/>
                                <w:color w:val="000000"/>
                                <w:spacing w:val="60"/>
                                <w:kern w:val="11"/>
                                <w:sz w:val="44"/>
                              </w:rPr>
                              <w:t>中华人民共和国农业行业标准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11.5pt;margin-top:55.95pt;height:37.4pt;width:477pt;mso-position-horizontal-relative:margin;mso-position-vertical-relative:margin;z-index:251659264;mso-width-relative:page;mso-height-relative:page;" fillcolor="#FFFFFF" filled="t" stroked="f" coordsize="21600,21600" o:gfxdata="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JsS0tgAAAAKAQAADwAAAAAAAAAB&#10;ACAAAAAiAAAAZHJzL2Rvd25yZXYueG1sUEsBAhQAFAAAAAgAh07iQNtap+oQAgAAKwQAAA4AAAAA&#10;AAAAAQAgAAAAJwEAAGRycy9lMm9Eb2MueG1sUEsFBgAAAAAGAAYAWQEAAKkFAAAAAA==&#10;">
                <v:fill on="t" focussize="0,0"/>
                <v:stroke on="f"/>
                <v:imagedata o:title=""/>
                <o:lock v:ext="edit" aspectratio="f"/>
                <v:textbox inset="0mm,0mm,0mm,0mm">
                  <w:txbxContent>
                    <w:p>
                      <w:pPr>
                        <w:jc w:val="center"/>
                      </w:pPr>
                      <w:r>
                        <w:rPr>
                          <w:rFonts w:hint="eastAsia" w:eastAsia="黑体"/>
                          <w:bCs/>
                          <w:color w:val="000000"/>
                          <w:spacing w:val="60"/>
                          <w:kern w:val="11"/>
                          <w:sz w:val="44"/>
                        </w:rPr>
                        <w:t>中华人民共和国农业行业标准</w:t>
                      </w:r>
                    </w:p>
                  </w:txbxContent>
                </v:textbox>
                <w10:anchorlock/>
              </v:shape>
            </w:pict>
          </mc:Fallback>
        </mc:AlternateContent>
      </w: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pStyle w:val="26"/>
        <w:spacing w:line="276" w:lineRule="auto"/>
        <w:ind w:right="69" w:rightChars="33"/>
      </w:pPr>
    </w:p>
    <w:p>
      <w:pPr>
        <w:spacing w:line="360" w:lineRule="atLeast"/>
        <w:ind w:right="69" w:rightChars="33"/>
        <w:jc w:val="center"/>
        <w:rPr>
          <w:rFonts w:eastAsia="黑体"/>
          <w:b/>
          <w:color w:val="000000"/>
          <w:sz w:val="28"/>
        </w:rPr>
      </w:pPr>
      <w:r>
        <w:rPr>
          <w:rFonts w:eastAsia="黑体"/>
          <w:b/>
          <w:color w:val="000000"/>
          <w:sz w:val="28"/>
        </w:rPr>
        <mc:AlternateContent>
          <mc:Choice Requires="wps">
            <w:drawing>
              <wp:anchor distT="0" distB="0" distL="114300" distR="114300" simplePos="0" relativeHeight="251665408" behindDoc="0" locked="0" layoutInCell="1" allowOverlap="1">
                <wp:simplePos x="0" y="0"/>
                <wp:positionH relativeFrom="column">
                  <wp:posOffset>-212090</wp:posOffset>
                </wp:positionH>
                <wp:positionV relativeFrom="paragraph">
                  <wp:posOffset>245745</wp:posOffset>
                </wp:positionV>
                <wp:extent cx="6466840" cy="7620"/>
                <wp:effectExtent l="0" t="0" r="29845" b="31115"/>
                <wp:wrapNone/>
                <wp:docPr id="4" name="直接连接符 4"/>
                <wp:cNvGraphicFramePr/>
                <a:graphic xmlns:a="http://schemas.openxmlformats.org/drawingml/2006/main">
                  <a:graphicData uri="http://schemas.microsoft.com/office/word/2010/wordprocessingShape">
                    <wps:wsp>
                      <wps:cNvCnPr/>
                      <wps:spPr>
                        <a:xfrm flipV="1">
                          <a:off x="0" y="0"/>
                          <a:ext cx="6466637" cy="73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6.7pt;margin-top:19.35pt;height:0.6pt;width:509.2pt;z-index:251665408;mso-width-relative:page;mso-height-relative:page;" filled="f" stroked="t" coordsize="21600,21600" o:gfxdata="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aCjHfYAAAACQEAAA8AAAAAAAAAAQAgAAAAIgAAAGRycy9kb3ducmV2&#10;LnhtbFBLAQIUABQAAAAIAIdO4kCeww/v/AEAAOADAAAOAAAAAAAAAAEAIAAAACcBAABkcnMvZTJv&#10;RG9jLnhtbFBLBQYAAAAABgAGAFkBAACVBQAAAAA=&#10;">
                <v:fill on="f" focussize="0,0"/>
                <v:stroke color="#000000 [3200]" joinstyle="round"/>
                <v:imagedata o:title=""/>
                <o:lock v:ext="edit" aspectratio="f"/>
              </v:line>
            </w:pict>
          </mc:Fallback>
        </mc:AlternateContent>
      </w:r>
    </w:p>
    <w:p>
      <w:pPr>
        <w:spacing w:line="360" w:lineRule="atLeast"/>
        <w:ind w:right="69" w:rightChars="33"/>
        <w:jc w:val="center"/>
        <w:rPr>
          <w:bCs/>
          <w:color w:val="000000"/>
          <w:sz w:val="28"/>
        </w:rPr>
        <w:sectPr>
          <w:headerReference r:id="rId5" w:type="first"/>
          <w:footerReference r:id="rId8"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425" w:num="1"/>
          <w:titlePg/>
          <w:docGrid w:type="lines" w:linePitch="312" w:charSpace="0"/>
        </w:sectPr>
      </w:pPr>
      <w: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365125</wp:posOffset>
                </wp:positionV>
                <wp:extent cx="6121400" cy="0"/>
                <wp:effectExtent l="0" t="0" r="12700" b="19050"/>
                <wp:wrapNone/>
                <wp:docPr id="9" name="Line 8"/>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FFFFFF"/>
                          </a:solidFill>
                          <a:round/>
                        </a:ln>
                      </wps:spPr>
                      <wps:bodyPr/>
                    </wps:wsp>
                  </a:graphicData>
                </a:graphic>
              </wp:anchor>
            </w:drawing>
          </mc:Choice>
          <mc:Fallback>
            <w:pict>
              <v:line id="Line 8" o:spid="_x0000_s1026" o:spt="20" style="position:absolute;left:0pt;margin-left:0pt;margin-top:28.75pt;height:0pt;width:482pt;z-index:251663360;mso-width-relative:page;mso-height-relative:page;" filled="f" stroked="t" coordsize="21600,21600" o:gfxdata="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ExKDYjUAAAABgEAAA8AAAAAAAAAAQAgAAAAIgAAAGRycy9kb3ducmV2&#10;LnhtbFBLAQIUABQAAAAIAIdO4kAIfxnTxwEAAKADAAAOAAAAAAAAAAEAIAAAACMBAABkcnMvZTJv&#10;RG9jLnhtbFBLBQYAAAAABgAGAFkBAABcBQAAAAA=&#10;">
                <v:fill on="f" focussize="0,0"/>
                <v:stroke weight="1pt" color="#FFFFFF" joinstyle="round"/>
                <v:imagedata o:title=""/>
                <o:lock v:ext="edit" aspectratio="f"/>
              </v:line>
            </w:pict>
          </mc:Fallback>
        </mc:AlternateContent>
      </w:r>
      <w:r>
        <w:rPr>
          <w:rFonts w:hint="eastAsia" w:eastAsia="黑体"/>
          <w:b/>
          <w:color w:val="000000"/>
          <w:sz w:val="28"/>
        </w:rPr>
        <w:t xml:space="preserve">中华人民共和国农业农村部 </w:t>
      </w:r>
      <w:r>
        <w:rPr>
          <w:rFonts w:eastAsia="黑体"/>
          <w:b/>
          <w:color w:val="000000"/>
          <w:sz w:val="28"/>
        </w:rPr>
        <w:t xml:space="preserve"> </w:t>
      </w:r>
      <w:r>
        <w:rPr>
          <w:rFonts w:hint="eastAsia"/>
          <w:bCs/>
          <w:color w:val="000000"/>
          <w:sz w:val="28"/>
        </w:rPr>
        <w:t>发布</w:t>
      </w:r>
    </w:p>
    <w:bookmarkEnd w:id="0"/>
    <w:p>
      <w:pPr>
        <w:pStyle w:val="3"/>
        <w:spacing w:line="360" w:lineRule="atLeast"/>
        <w:ind w:right="69" w:rightChars="33" w:firstLine="0"/>
        <w:rPr>
          <w:b/>
          <w:sz w:val="30"/>
        </w:rPr>
      </w:pPr>
    </w:p>
    <w:p>
      <w:pPr>
        <w:pStyle w:val="3"/>
        <w:spacing w:line="360" w:lineRule="atLeast"/>
        <w:ind w:right="69" w:rightChars="33"/>
        <w:jc w:val="center"/>
        <w:rPr>
          <w:rFonts w:ascii="Times New Roman" w:hAnsi="Times New Roman"/>
          <w:b/>
          <w:sz w:val="30"/>
        </w:rPr>
      </w:pPr>
      <w:r>
        <w:rPr>
          <w:rFonts w:ascii="Times New Roman" w:hAnsi="Times New Roman"/>
          <w:b/>
          <w:sz w:val="30"/>
        </w:rPr>
        <w:t>前    言</w:t>
      </w:r>
    </w:p>
    <w:p>
      <w:pPr>
        <w:pStyle w:val="3"/>
        <w:spacing w:line="360" w:lineRule="atLeast"/>
        <w:ind w:right="69" w:rightChars="33"/>
        <w:rPr>
          <w:rFonts w:ascii="Times New Roman" w:hAnsi="Times New Roman"/>
          <w:sz w:val="24"/>
        </w:rPr>
      </w:pPr>
    </w:p>
    <w:p>
      <w:pPr>
        <w:pStyle w:val="3"/>
        <w:spacing w:line="360" w:lineRule="atLeast"/>
        <w:ind w:right="69" w:rightChars="33"/>
        <w:rPr>
          <w:rFonts w:ascii="Times New Roman" w:hAnsi="Times New Roman"/>
          <w:sz w:val="24"/>
        </w:rPr>
      </w:pPr>
      <w:r>
        <w:rPr>
          <w:rFonts w:ascii="Times New Roman" w:hAnsi="Times New Roman"/>
          <w:sz w:val="24"/>
        </w:rPr>
        <w:t>本文件按照</w:t>
      </w:r>
      <w:bookmarkStart w:id="1" w:name="OLE_LINK9"/>
      <w:r>
        <w:rPr>
          <w:rFonts w:ascii="Times New Roman" w:hAnsi="Times New Roman"/>
          <w:sz w:val="24"/>
        </w:rPr>
        <w:t>GB/T 1.1-2020</w:t>
      </w:r>
      <w:bookmarkEnd w:id="1"/>
      <w:r>
        <w:rPr>
          <w:rFonts w:ascii="Times New Roman" w:hAnsi="Times New Roman"/>
          <w:sz w:val="24"/>
        </w:rPr>
        <w:t>《标准化工作导则 第1部分：</w:t>
      </w:r>
      <w:bookmarkStart w:id="2" w:name="_Hlk73535913"/>
      <w:r>
        <w:rPr>
          <w:rFonts w:ascii="Times New Roman" w:hAnsi="Times New Roman"/>
          <w:sz w:val="24"/>
        </w:rPr>
        <w:t>标准化文件的结构和编写起草规则</w:t>
      </w:r>
      <w:bookmarkEnd w:id="2"/>
      <w:r>
        <w:rPr>
          <w:rFonts w:ascii="Times New Roman" w:hAnsi="Times New Roman"/>
          <w:sz w:val="24"/>
        </w:rPr>
        <w:t>》的规定起草。</w:t>
      </w:r>
    </w:p>
    <w:p>
      <w:pPr>
        <w:pStyle w:val="3"/>
        <w:spacing w:line="360" w:lineRule="atLeast"/>
        <w:ind w:right="69" w:rightChars="33"/>
        <w:rPr>
          <w:rFonts w:ascii="Times New Roman" w:hAnsi="Times New Roman"/>
          <w:sz w:val="24"/>
        </w:rPr>
      </w:pPr>
      <w:r>
        <w:rPr>
          <w:rFonts w:ascii="Times New Roman" w:hAnsi="Times New Roman"/>
          <w:sz w:val="24"/>
        </w:rPr>
        <w:t>请注意本文件某些内容涉及专利。本文件的发布机构不承担识别专利的责任。</w:t>
      </w:r>
    </w:p>
    <w:p>
      <w:pPr>
        <w:pStyle w:val="3"/>
        <w:spacing w:line="360" w:lineRule="atLeast"/>
        <w:ind w:right="69" w:rightChars="33"/>
        <w:rPr>
          <w:rFonts w:ascii="Times New Roman" w:hAnsi="Times New Roman"/>
          <w:sz w:val="24"/>
        </w:rPr>
      </w:pPr>
      <w:r>
        <w:rPr>
          <w:rFonts w:ascii="Times New Roman" w:hAnsi="Times New Roman"/>
          <w:sz w:val="24"/>
        </w:rPr>
        <w:t>本文件由中华人民共和国农业农村部畜牧兽医局提出。</w:t>
      </w:r>
    </w:p>
    <w:p>
      <w:pPr>
        <w:pStyle w:val="3"/>
        <w:spacing w:line="360" w:lineRule="atLeast"/>
        <w:ind w:right="69" w:rightChars="33"/>
        <w:rPr>
          <w:rFonts w:ascii="Times New Roman" w:hAnsi="Times New Roman"/>
          <w:sz w:val="24"/>
        </w:rPr>
      </w:pPr>
      <w:r>
        <w:rPr>
          <w:rFonts w:ascii="Times New Roman" w:hAnsi="Times New Roman"/>
          <w:sz w:val="24"/>
        </w:rPr>
        <w:t>本文件由</w:t>
      </w:r>
      <w:bookmarkStart w:id="3" w:name="OLE_LINK34"/>
      <w:bookmarkStart w:id="4" w:name="OLE_LINK35"/>
      <w:r>
        <w:rPr>
          <w:rFonts w:ascii="Times New Roman" w:hAnsi="Times New Roman"/>
          <w:sz w:val="24"/>
        </w:rPr>
        <w:t>全国畜牧业标准化技术委员</w:t>
      </w:r>
      <w:bookmarkEnd w:id="3"/>
      <w:bookmarkEnd w:id="4"/>
      <w:r>
        <w:rPr>
          <w:rFonts w:ascii="Times New Roman" w:hAnsi="Times New Roman"/>
          <w:sz w:val="24"/>
        </w:rPr>
        <w:t>会（SAC/TC274）归口。</w:t>
      </w:r>
    </w:p>
    <w:p>
      <w:pPr>
        <w:pStyle w:val="3"/>
        <w:spacing w:line="360" w:lineRule="atLeast"/>
        <w:ind w:right="69" w:rightChars="33"/>
        <w:rPr>
          <w:rFonts w:ascii="Times New Roman" w:hAnsi="Times New Roman"/>
          <w:sz w:val="24"/>
        </w:rPr>
      </w:pPr>
      <w:r>
        <w:rPr>
          <w:rFonts w:ascii="Times New Roman" w:hAnsi="Times New Roman"/>
          <w:sz w:val="24"/>
        </w:rPr>
        <w:t>本文件起草单位：</w:t>
      </w:r>
      <w:bookmarkStart w:id="5" w:name="_Hlk73100780"/>
      <w:r>
        <w:rPr>
          <w:rFonts w:ascii="Times New Roman" w:hAnsi="Times New Roman"/>
          <w:sz w:val="24"/>
        </w:rPr>
        <w:t>中国农业科学院蜜蜂研究所、江苏蜂奥生物科技有限公司、广西梧州甜蜜家蜂业有限公司、上海森蜂园蜂业有限公司、江苏日高蜂产品有限公司</w:t>
      </w:r>
      <w:bookmarkEnd w:id="5"/>
      <w:r>
        <w:rPr>
          <w:rFonts w:ascii="Times New Roman" w:hAnsi="Times New Roman"/>
          <w:sz w:val="24"/>
        </w:rPr>
        <w:t>。</w:t>
      </w:r>
    </w:p>
    <w:p>
      <w:pPr>
        <w:pStyle w:val="3"/>
        <w:spacing w:line="360" w:lineRule="atLeast"/>
        <w:ind w:right="69" w:rightChars="33"/>
        <w:rPr>
          <w:rFonts w:ascii="Times New Roman" w:hAnsi="Times New Roman"/>
          <w:color w:val="000000"/>
          <w:sz w:val="24"/>
        </w:rPr>
      </w:pPr>
      <w:r>
        <w:rPr>
          <w:rFonts w:ascii="Times New Roman" w:hAnsi="Times New Roman"/>
          <w:sz w:val="24"/>
        </w:rPr>
        <w:t>本文件起草人：</w:t>
      </w:r>
      <w:bookmarkStart w:id="6" w:name="_Hlk73184810"/>
    </w:p>
    <w:bookmarkEnd w:id="6"/>
    <w:p>
      <w:pPr>
        <w:spacing w:line="360" w:lineRule="atLeast"/>
        <w:ind w:right="69" w:rightChars="33" w:firstLine="488"/>
        <w:rPr>
          <w:color w:val="000000"/>
          <w:sz w:val="24"/>
        </w:rPr>
      </w:pPr>
    </w:p>
    <w:p>
      <w:pPr>
        <w:spacing w:line="360" w:lineRule="atLeast"/>
        <w:ind w:right="69" w:rightChars="33" w:firstLine="488"/>
        <w:rPr>
          <w:color w:val="000000"/>
          <w:sz w:val="24"/>
        </w:rPr>
      </w:pPr>
    </w:p>
    <w:p>
      <w:pPr>
        <w:spacing w:line="360" w:lineRule="atLeast"/>
        <w:ind w:right="69" w:rightChars="33"/>
        <w:rPr>
          <w:color w:val="000000"/>
        </w:rPr>
      </w:pPr>
    </w:p>
    <w:p>
      <w:pPr>
        <w:spacing w:line="360" w:lineRule="atLeast"/>
        <w:ind w:right="69" w:rightChars="33" w:firstLine="488"/>
        <w:rPr>
          <w:color w:val="000000"/>
          <w:sz w:val="24"/>
        </w:rPr>
      </w:pPr>
    </w:p>
    <w:p>
      <w:pPr>
        <w:spacing w:line="360" w:lineRule="atLeast"/>
        <w:ind w:right="69" w:rightChars="33"/>
        <w:rPr>
          <w:color w:val="000000"/>
        </w:rPr>
      </w:pPr>
    </w:p>
    <w:p>
      <w:pPr>
        <w:spacing w:line="360" w:lineRule="atLeast"/>
        <w:ind w:right="69" w:rightChars="33"/>
        <w:jc w:val="center"/>
        <w:rPr>
          <w:bCs/>
          <w:color w:val="000000"/>
          <w:sz w:val="28"/>
        </w:rPr>
      </w:pPr>
    </w:p>
    <w:p>
      <w:pPr>
        <w:spacing w:line="360" w:lineRule="atLeast"/>
        <w:ind w:right="69" w:rightChars="33"/>
        <w:jc w:val="center"/>
        <w:rPr>
          <w:b/>
          <w:color w:val="000000"/>
          <w:sz w:val="28"/>
        </w:rPr>
      </w:pPr>
    </w:p>
    <w:p>
      <w:pPr>
        <w:spacing w:line="360" w:lineRule="atLeast"/>
        <w:ind w:right="69" w:rightChars="33"/>
        <w:jc w:val="center"/>
        <w:rPr>
          <w:b/>
          <w:color w:val="000000"/>
          <w:sz w:val="28"/>
        </w:rPr>
      </w:pPr>
    </w:p>
    <w:p>
      <w:pPr>
        <w:spacing w:line="360" w:lineRule="atLeast"/>
        <w:ind w:right="69" w:rightChars="33"/>
        <w:jc w:val="center"/>
        <w:rPr>
          <w:b/>
          <w:color w:val="000000"/>
          <w:sz w:val="28"/>
        </w:rPr>
      </w:pPr>
    </w:p>
    <w:p>
      <w:pPr>
        <w:spacing w:line="360" w:lineRule="atLeast"/>
        <w:ind w:right="69" w:rightChars="33"/>
        <w:jc w:val="center"/>
        <w:rPr>
          <w:b/>
          <w:color w:val="000000"/>
          <w:sz w:val="28"/>
        </w:rPr>
      </w:pPr>
    </w:p>
    <w:p>
      <w:pPr>
        <w:spacing w:line="360" w:lineRule="atLeast"/>
        <w:ind w:right="69" w:rightChars="33"/>
        <w:jc w:val="center"/>
        <w:rPr>
          <w:b/>
          <w:color w:val="000000"/>
          <w:sz w:val="28"/>
        </w:rPr>
      </w:pPr>
    </w:p>
    <w:p>
      <w:pPr>
        <w:spacing w:line="360" w:lineRule="atLeast"/>
        <w:ind w:right="69" w:rightChars="33"/>
        <w:jc w:val="center"/>
        <w:rPr>
          <w:b/>
          <w:color w:val="000000"/>
          <w:sz w:val="28"/>
        </w:rPr>
      </w:pPr>
    </w:p>
    <w:p>
      <w:pPr>
        <w:spacing w:line="360" w:lineRule="atLeast"/>
        <w:ind w:right="69" w:rightChars="33"/>
        <w:jc w:val="center"/>
        <w:rPr>
          <w:b/>
          <w:color w:val="000000"/>
          <w:sz w:val="28"/>
        </w:rPr>
      </w:pPr>
    </w:p>
    <w:p>
      <w:pPr>
        <w:pStyle w:val="3"/>
        <w:spacing w:line="360" w:lineRule="atLeast"/>
        <w:ind w:left="5250" w:right="69" w:rightChars="33"/>
        <w:jc w:val="right"/>
        <w:rPr>
          <w:b/>
          <w:bCs/>
          <w:color w:val="000000"/>
        </w:rPr>
      </w:pPr>
    </w:p>
    <w:p>
      <w:pPr>
        <w:jc w:val="center"/>
        <w:rPr>
          <w:b/>
          <w:sz w:val="24"/>
        </w:rPr>
      </w:pPr>
      <w:r>
        <w:rPr>
          <w:b/>
          <w:bCs/>
          <w:color w:val="000000"/>
        </w:rPr>
        <w:br w:type="page"/>
      </w:r>
    </w:p>
    <w:p>
      <w:pPr>
        <w:jc w:val="center"/>
        <w:rPr>
          <w:b/>
          <w:bCs/>
          <w:color w:val="000000"/>
          <w:sz w:val="24"/>
        </w:rPr>
      </w:pPr>
      <w:r>
        <w:rPr>
          <w:b/>
          <w:sz w:val="24"/>
        </w:rPr>
        <w:t>蜂王浆中酮胺类糖化蛋白的测定 分光光度法</w:t>
      </w:r>
    </w:p>
    <w:p>
      <w:pPr>
        <w:rPr>
          <w:sz w:val="24"/>
        </w:rPr>
      </w:pPr>
      <w:r>
        <w:rPr>
          <w:b/>
          <w:sz w:val="24"/>
        </w:rPr>
        <w:t>1   范围</w:t>
      </w:r>
    </w:p>
    <w:p>
      <w:pPr>
        <w:ind w:firstLine="420"/>
        <w:rPr>
          <w:sz w:val="24"/>
        </w:rPr>
      </w:pPr>
    </w:p>
    <w:p>
      <w:pPr>
        <w:ind w:firstLine="420"/>
        <w:rPr>
          <w:sz w:val="24"/>
        </w:rPr>
      </w:pPr>
      <w:r>
        <w:rPr>
          <w:sz w:val="24"/>
        </w:rPr>
        <w:t>本文件规定了测定蜂王浆中酮胺类糖化蛋白含量的</w:t>
      </w:r>
      <w:bookmarkStart w:id="7" w:name="OLE_LINK5"/>
      <w:r>
        <w:rPr>
          <w:sz w:val="24"/>
        </w:rPr>
        <w:t>氯化硝基四氮唑</w:t>
      </w:r>
      <w:bookmarkEnd w:id="7"/>
      <w:r>
        <w:rPr>
          <w:sz w:val="24"/>
        </w:rPr>
        <w:t>蓝</w:t>
      </w:r>
      <w:r>
        <w:rPr>
          <w:rFonts w:eastAsiaTheme="majorEastAsia"/>
          <w:sz w:val="24"/>
        </w:rPr>
        <w:t>(以下简写为NBT, CAS: 298-83-9)</w:t>
      </w:r>
      <w:r>
        <w:rPr>
          <w:sz w:val="24"/>
        </w:rPr>
        <w:t>比色法的原理、试剂、材料、仪器设备和实验方法。</w:t>
      </w:r>
    </w:p>
    <w:p>
      <w:pPr>
        <w:ind w:firstLine="420"/>
        <w:rPr>
          <w:sz w:val="24"/>
        </w:rPr>
      </w:pPr>
      <w:r>
        <w:rPr>
          <w:sz w:val="24"/>
        </w:rPr>
        <w:t>本文件适用于蜂王浆中酮胺类糖化蛋白的测定。</w:t>
      </w:r>
    </w:p>
    <w:p>
      <w:pPr>
        <w:ind w:firstLine="420"/>
        <w:rPr>
          <w:sz w:val="24"/>
        </w:rPr>
      </w:pPr>
      <w:r>
        <w:rPr>
          <w:sz w:val="24"/>
        </w:rPr>
        <w:t>注：定量限以每克蜂王浆中所含1-脱氧-1-吗啉-D-果糖（DMF）含量计。</w:t>
      </w:r>
    </w:p>
    <w:p>
      <w:pPr>
        <w:rPr>
          <w:sz w:val="24"/>
        </w:rPr>
      </w:pPr>
      <w:r>
        <w:rPr>
          <w:b/>
          <w:sz w:val="24"/>
        </w:rPr>
        <w:t>2   规范性引用文件</w:t>
      </w:r>
      <w:r>
        <w:rPr>
          <w:sz w:val="24"/>
        </w:rPr>
        <w:tab/>
      </w:r>
    </w:p>
    <w:p>
      <w:pPr>
        <w:ind w:firstLine="420"/>
        <w:rPr>
          <w:sz w:val="24"/>
        </w:rPr>
      </w:pPr>
    </w:p>
    <w:p>
      <w:pPr>
        <w:ind w:firstLine="420"/>
        <w:rPr>
          <w:sz w:val="24"/>
        </w:rPr>
      </w:pPr>
      <w:r>
        <w:rPr>
          <w:sz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pPr>
        <w:ind w:firstLine="480" w:firstLineChars="200"/>
        <w:rPr>
          <w:sz w:val="24"/>
        </w:rPr>
      </w:pPr>
      <w:r>
        <w:rPr>
          <w:color w:val="000000"/>
          <w:sz w:val="24"/>
        </w:rPr>
        <w:t>GB 9697</w:t>
      </w:r>
      <w:r>
        <w:t xml:space="preserve"> </w:t>
      </w:r>
      <w:r>
        <w:rPr>
          <w:color w:val="000000"/>
          <w:sz w:val="24"/>
        </w:rPr>
        <w:t>蜂王浆</w:t>
      </w:r>
    </w:p>
    <w:p>
      <w:pPr>
        <w:ind w:firstLine="480" w:firstLineChars="200"/>
        <w:jc w:val="left"/>
        <w:rPr>
          <w:sz w:val="24"/>
        </w:rPr>
      </w:pPr>
      <w:r>
        <w:rPr>
          <w:sz w:val="24"/>
        </w:rPr>
        <w:t xml:space="preserve">GB/T 20001.4 标准编写规则 第4部分：试验方法标准 </w:t>
      </w:r>
    </w:p>
    <w:p>
      <w:pPr>
        <w:ind w:firstLine="480" w:firstLineChars="200"/>
        <w:jc w:val="left"/>
        <w:rPr>
          <w:sz w:val="24"/>
        </w:rPr>
      </w:pPr>
      <w:r>
        <w:rPr>
          <w:sz w:val="24"/>
        </w:rPr>
        <w:t>GB/T 6682分析实验室用水规格和试验方法</w:t>
      </w:r>
    </w:p>
    <w:p>
      <w:pPr>
        <w:rPr>
          <w:color w:val="000000"/>
          <w:sz w:val="24"/>
        </w:rPr>
      </w:pPr>
    </w:p>
    <w:p>
      <w:pPr>
        <w:spacing w:line="720" w:lineRule="auto"/>
        <w:outlineLvl w:val="0"/>
        <w:rPr>
          <w:rFonts w:eastAsiaTheme="majorEastAsia"/>
          <w:sz w:val="24"/>
        </w:rPr>
      </w:pPr>
      <w:r>
        <w:rPr>
          <w:b/>
          <w:sz w:val="24"/>
        </w:rPr>
        <w:t>3   术语和定义</w:t>
      </w:r>
    </w:p>
    <w:p>
      <w:pPr>
        <w:pStyle w:val="14"/>
        <w:ind w:firstLine="480"/>
        <w:rPr>
          <w:rFonts w:ascii="Times New Roman" w:eastAsiaTheme="majorEastAsia"/>
          <w:kern w:val="2"/>
          <w:sz w:val="24"/>
          <w:szCs w:val="24"/>
        </w:rPr>
      </w:pPr>
      <w:r>
        <w:rPr>
          <w:rFonts w:ascii="Times New Roman" w:eastAsiaTheme="majorEastAsia"/>
          <w:kern w:val="2"/>
          <w:sz w:val="24"/>
          <w:szCs w:val="24"/>
        </w:rPr>
        <w:t>酮胺类糖化蛋白：还原糖通非酶促褐变与蛋白质产生醛亚胺，再通过amadori 重排形成酮胺结构，这类还原糖和蛋白质结构形成的化合物叫酮胺类糖化蛋白。</w:t>
      </w:r>
    </w:p>
    <w:p>
      <w:pPr>
        <w:rPr>
          <w:sz w:val="24"/>
        </w:rPr>
      </w:pPr>
    </w:p>
    <w:p>
      <w:pPr>
        <w:rPr>
          <w:b/>
          <w:sz w:val="24"/>
        </w:rPr>
      </w:pPr>
      <w:r>
        <w:rPr>
          <w:b/>
          <w:sz w:val="24"/>
        </w:rPr>
        <w:t>4    原理</w:t>
      </w:r>
    </w:p>
    <w:p>
      <w:pPr>
        <w:ind w:firstLine="480" w:firstLineChars="200"/>
        <w:rPr>
          <w:rFonts w:eastAsiaTheme="majorEastAsia"/>
          <w:sz w:val="24"/>
        </w:rPr>
      </w:pPr>
      <w:bookmarkStart w:id="8" w:name="OLE_LINK12"/>
      <w:bookmarkStart w:id="9" w:name="OLE_LINK13"/>
    </w:p>
    <w:bookmarkEnd w:id="8"/>
    <w:bookmarkEnd w:id="9"/>
    <w:p>
      <w:pPr>
        <w:ind w:firstLine="480" w:firstLineChars="200"/>
        <w:rPr>
          <w:sz w:val="24"/>
        </w:rPr>
      </w:pPr>
      <w:r>
        <w:rPr>
          <w:rFonts w:eastAsiaTheme="majorEastAsia"/>
          <w:sz w:val="24"/>
        </w:rPr>
        <w:t>试样中酮胺类糖化蛋白在碱性条件下能还原</w:t>
      </w:r>
      <w:bookmarkStart w:id="10" w:name="OLE_LINK15"/>
      <w:bookmarkStart w:id="11" w:name="OLE_LINK14"/>
      <w:r>
        <w:rPr>
          <w:rFonts w:eastAsiaTheme="majorEastAsia"/>
          <w:sz w:val="24"/>
        </w:rPr>
        <w:t>氯化硝基四氮唑蓝（NBT）</w:t>
      </w:r>
      <w:bookmarkEnd w:id="10"/>
      <w:bookmarkEnd w:id="11"/>
      <w:r>
        <w:rPr>
          <w:rFonts w:eastAsiaTheme="majorEastAsia"/>
          <w:sz w:val="24"/>
        </w:rPr>
        <w:t>，生成蓝紫色甲臜类化合物，在539 nm处有最大紫外吸收。吸光度与酮胺类糖化蛋白成正比，根据DMF标准曲线，可计算蜂王浆中酮胺类糖化蛋白的含量。</w:t>
      </w:r>
      <w:r>
        <w:rPr>
          <w:sz w:val="24"/>
        </w:rPr>
        <w:t xml:space="preserve"> </w:t>
      </w:r>
    </w:p>
    <w:p>
      <w:pPr>
        <w:ind w:firstLine="480" w:firstLineChars="200"/>
        <w:rPr>
          <w:sz w:val="24"/>
        </w:rPr>
      </w:pPr>
      <w:r>
        <w:rPr>
          <w:sz w:val="24"/>
        </w:rPr>
        <w:t xml:space="preserve">  </w:t>
      </w:r>
    </w:p>
    <w:p>
      <w:pPr>
        <w:rPr>
          <w:rFonts w:ascii="宋体" w:hAnsi="宋体"/>
          <w:b/>
          <w:sz w:val="24"/>
        </w:rPr>
      </w:pPr>
      <w:r>
        <w:rPr>
          <w:rFonts w:hint="eastAsia" w:ascii="宋体" w:hAnsi="宋体"/>
          <w:b/>
          <w:sz w:val="24"/>
        </w:rPr>
        <w:t>5   试剂和材料</w:t>
      </w:r>
    </w:p>
    <w:p>
      <w:pPr>
        <w:rPr>
          <w:rFonts w:ascii="宋体" w:hAnsi="宋体"/>
          <w:b/>
          <w:sz w:val="24"/>
        </w:rPr>
      </w:pPr>
    </w:p>
    <w:p>
      <w:pPr>
        <w:ind w:firstLine="480" w:firstLineChars="200"/>
        <w:rPr>
          <w:rFonts w:eastAsiaTheme="majorEastAsia"/>
          <w:sz w:val="24"/>
        </w:rPr>
      </w:pPr>
      <w:r>
        <w:rPr>
          <w:rFonts w:eastAsiaTheme="majorEastAsia"/>
          <w:sz w:val="24"/>
        </w:rPr>
        <w:t>除另有规定外，所有试剂使用分析纯。</w:t>
      </w:r>
    </w:p>
    <w:p>
      <w:pPr>
        <w:rPr>
          <w:rFonts w:eastAsiaTheme="majorEastAsia"/>
          <w:sz w:val="24"/>
        </w:rPr>
      </w:pPr>
      <w:r>
        <w:rPr>
          <w:rFonts w:eastAsiaTheme="majorEastAsia"/>
          <w:sz w:val="24"/>
        </w:rPr>
        <w:t>5.1 水：GB/T 6682,一级水；未指明用何种溶剂配制时，均指水溶液。</w:t>
      </w:r>
    </w:p>
    <w:p>
      <w:pPr>
        <w:rPr>
          <w:color w:val="000000" w:themeColor="text1"/>
          <w:sz w:val="24"/>
          <w14:textFill>
            <w14:solidFill>
              <w14:schemeClr w14:val="tx1"/>
            </w14:solidFill>
          </w14:textFill>
        </w:rPr>
      </w:pPr>
      <w:r>
        <w:rPr>
          <w:bCs/>
          <w:sz w:val="24"/>
        </w:rPr>
        <w:t>5.2</w:t>
      </w:r>
      <w:r>
        <w:rPr>
          <w:b/>
          <w:sz w:val="24"/>
        </w:rPr>
        <w:t xml:space="preserve"> </w:t>
      </w:r>
      <w:r>
        <w:rPr>
          <w:color w:val="000000" w:themeColor="text1"/>
          <w:sz w:val="24"/>
          <w14:textFill>
            <w14:solidFill>
              <w14:schemeClr w14:val="tx1"/>
            </w14:solidFill>
          </w14:textFill>
        </w:rPr>
        <w:t>碳酸盐缓冲液（0.1</w:t>
      </w:r>
      <w:r>
        <w:rPr>
          <w:color w:val="000000"/>
          <w:sz w:val="24"/>
        </w:rPr>
        <w:t xml:space="preserve"> </w:t>
      </w:r>
      <w:r>
        <w:rPr>
          <w:color w:val="000000" w:themeColor="text1"/>
          <w:sz w:val="24"/>
          <w14:textFill>
            <w14:solidFill>
              <w14:schemeClr w14:val="tx1"/>
            </w14:solidFill>
          </w14:textFill>
        </w:rPr>
        <w:t>mol/L，pH</w:t>
      </w:r>
      <w:r>
        <w:rPr>
          <w:color w:val="000000"/>
          <w:sz w:val="24"/>
        </w:rPr>
        <w:t xml:space="preserve"> </w:t>
      </w:r>
      <w:r>
        <w:rPr>
          <w:color w:val="000000" w:themeColor="text1"/>
          <w:sz w:val="24"/>
          <w14:textFill>
            <w14:solidFill>
              <w14:schemeClr w14:val="tx1"/>
            </w14:solidFill>
          </w14:textFill>
        </w:rPr>
        <w:t>10.8）</w:t>
      </w:r>
    </w:p>
    <w:p>
      <w:pPr>
        <w:rPr>
          <w:rFonts w:eastAsiaTheme="majorEastAsia"/>
          <w:sz w:val="24"/>
        </w:rPr>
      </w:pPr>
      <w:r>
        <w:rPr>
          <w:color w:val="000000" w:themeColor="text1"/>
          <w:sz w:val="24"/>
          <w14:textFill>
            <w14:solidFill>
              <w14:schemeClr w14:val="tx1"/>
            </w14:solidFill>
          </w14:textFill>
        </w:rPr>
        <w:t xml:space="preserve">    </w:t>
      </w:r>
      <w:r>
        <w:rPr>
          <w:rFonts w:eastAsiaTheme="majorEastAsia"/>
          <w:sz w:val="24"/>
        </w:rPr>
        <w:t>准确称取无水碳酸钠9.45 g、碳酸氢钠0.84 g于1000 mL容量瓶中，用水溶解定容。于2℃～8℃保存，有效期3个月。</w:t>
      </w:r>
    </w:p>
    <w:p>
      <w:pPr>
        <w:rPr>
          <w:rFonts w:eastAsiaTheme="majorEastAsia"/>
          <w:sz w:val="24"/>
        </w:rPr>
      </w:pPr>
      <w:r>
        <w:rPr>
          <w:rFonts w:eastAsiaTheme="majorEastAsia"/>
          <w:sz w:val="24"/>
        </w:rPr>
        <w:t>5.3 DMF标准液（6 mmol/L）</w:t>
      </w:r>
    </w:p>
    <w:p>
      <w:pPr>
        <w:ind w:firstLine="480" w:firstLineChars="200"/>
        <w:rPr>
          <w:rFonts w:eastAsiaTheme="majorEastAsia"/>
          <w:sz w:val="24"/>
        </w:rPr>
      </w:pPr>
      <w:r>
        <w:rPr>
          <w:rFonts w:eastAsiaTheme="majorEastAsia"/>
          <w:sz w:val="24"/>
        </w:rPr>
        <w:t>准确称取37.0 mg 的DMF于25 mL容量瓶中,用水溶解定容。于2℃～8℃保存，有效期3个月。</w:t>
      </w:r>
    </w:p>
    <w:p>
      <w:pPr>
        <w:rPr>
          <w:rFonts w:eastAsiaTheme="majorEastAsia"/>
          <w:sz w:val="24"/>
        </w:rPr>
      </w:pPr>
      <w:r>
        <w:rPr>
          <w:rFonts w:eastAsiaTheme="majorEastAsia"/>
          <w:sz w:val="24"/>
        </w:rPr>
        <w:t>5.4 NBT溶液（0.5 mmol/L，pH 10.8）</w:t>
      </w:r>
    </w:p>
    <w:p>
      <w:pPr>
        <w:ind w:firstLine="480" w:firstLineChars="200"/>
        <w:rPr>
          <w:rFonts w:eastAsiaTheme="majorEastAsia"/>
          <w:sz w:val="24"/>
        </w:rPr>
      </w:pPr>
      <w:r>
        <w:rPr>
          <w:rFonts w:eastAsiaTheme="majorEastAsia"/>
          <w:sz w:val="24"/>
        </w:rPr>
        <w:t>准确称取102 mg 的NBT于250 mL容量瓶中，</w:t>
      </w:r>
      <w:bookmarkStart w:id="12" w:name="OLE_LINK7"/>
      <w:bookmarkStart w:id="13" w:name="OLE_LINK2"/>
      <w:bookmarkStart w:id="14" w:name="OLE_LINK8"/>
      <w:bookmarkStart w:id="15" w:name="OLE_LINK1"/>
      <w:r>
        <w:rPr>
          <w:rFonts w:eastAsiaTheme="majorEastAsia"/>
          <w:sz w:val="24"/>
        </w:rPr>
        <w:t>用</w:t>
      </w:r>
      <w:bookmarkStart w:id="16" w:name="OLE_LINK28"/>
      <w:bookmarkStart w:id="17" w:name="OLE_LINK29"/>
      <w:r>
        <w:rPr>
          <w:rFonts w:eastAsiaTheme="majorEastAsia"/>
          <w:sz w:val="24"/>
        </w:rPr>
        <w:t>碳酸盐缓冲液</w:t>
      </w:r>
      <w:bookmarkEnd w:id="12"/>
      <w:bookmarkEnd w:id="13"/>
      <w:bookmarkEnd w:id="14"/>
      <w:bookmarkEnd w:id="15"/>
      <w:bookmarkEnd w:id="16"/>
      <w:bookmarkEnd w:id="17"/>
      <w:r>
        <w:rPr>
          <w:rFonts w:eastAsiaTheme="majorEastAsia"/>
          <w:sz w:val="24"/>
        </w:rPr>
        <w:t>（5.2）溶解并定容，在2℃～8℃条件下贮存于棕色瓶中，有效期3个月。</w:t>
      </w:r>
    </w:p>
    <w:p>
      <w:pPr>
        <w:rPr>
          <w:rFonts w:eastAsiaTheme="majorEastAsia"/>
          <w:sz w:val="24"/>
        </w:rPr>
      </w:pPr>
      <w:r>
        <w:rPr>
          <w:rFonts w:eastAsiaTheme="majorEastAsia"/>
          <w:sz w:val="24"/>
        </w:rPr>
        <w:t xml:space="preserve">5.5 </w:t>
      </w:r>
      <w:bookmarkStart w:id="18" w:name="OLE_LINK33"/>
      <w:bookmarkStart w:id="19" w:name="OLE_LINK32"/>
      <w:r>
        <w:rPr>
          <w:rFonts w:eastAsiaTheme="majorEastAsia"/>
          <w:sz w:val="24"/>
        </w:rPr>
        <w:t>Triton X-100</w:t>
      </w:r>
      <w:bookmarkEnd w:id="18"/>
      <w:bookmarkEnd w:id="19"/>
      <w:r>
        <w:rPr>
          <w:rFonts w:eastAsiaTheme="majorEastAsia"/>
          <w:sz w:val="24"/>
        </w:rPr>
        <w:t>溶液（0.02% pH 10.8）</w:t>
      </w:r>
    </w:p>
    <w:p>
      <w:pPr>
        <w:ind w:firstLine="480" w:firstLineChars="200"/>
        <w:rPr>
          <w:rFonts w:eastAsiaTheme="majorEastAsia"/>
          <w:sz w:val="24"/>
        </w:rPr>
      </w:pPr>
      <w:r>
        <w:rPr>
          <w:rFonts w:eastAsiaTheme="majorEastAsia"/>
          <w:sz w:val="24"/>
        </w:rPr>
        <w:t xml:space="preserve"> 准确量取1 </w:t>
      </w:r>
      <w:bookmarkStart w:id="20" w:name="OLE_LINK30"/>
      <w:bookmarkStart w:id="21" w:name="OLE_LINK31"/>
      <w:r>
        <w:rPr>
          <w:rFonts w:eastAsiaTheme="majorEastAsia"/>
          <w:sz w:val="24"/>
        </w:rPr>
        <w:t>mL</w:t>
      </w:r>
      <w:bookmarkEnd w:id="20"/>
      <w:bookmarkEnd w:id="21"/>
      <w:r>
        <w:rPr>
          <w:rFonts w:eastAsiaTheme="majorEastAsia"/>
          <w:sz w:val="24"/>
        </w:rPr>
        <w:t xml:space="preserve"> Triton X-100（30%）溶液，于1500 mL容量瓶中，用碳酸盐缓冲液（5.2）定容。</w:t>
      </w:r>
    </w:p>
    <w:p>
      <w:pPr>
        <w:rPr>
          <w:rFonts w:asciiTheme="majorEastAsia" w:hAnsiTheme="majorEastAsia" w:eastAsiaTheme="majorEastAsia"/>
          <w:sz w:val="24"/>
        </w:rPr>
      </w:pPr>
    </w:p>
    <w:p>
      <w:pPr>
        <w:numPr>
          <w:ilvl w:val="255"/>
          <w:numId w:val="0"/>
        </w:numPr>
        <w:rPr>
          <w:b/>
          <w:sz w:val="24"/>
        </w:rPr>
      </w:pPr>
      <w:r>
        <w:rPr>
          <w:b/>
          <w:sz w:val="24"/>
        </w:rPr>
        <w:t xml:space="preserve">6   仪器设备  </w:t>
      </w:r>
    </w:p>
    <w:p>
      <w:pPr>
        <w:rPr>
          <w:color w:val="000000" w:themeColor="text1"/>
          <w:sz w:val="24"/>
          <w14:textFill>
            <w14:solidFill>
              <w14:schemeClr w14:val="tx1"/>
            </w14:solidFill>
          </w14:textFill>
        </w:rPr>
      </w:pPr>
      <w:r>
        <w:rPr>
          <w:b/>
          <w:sz w:val="24"/>
        </w:rPr>
        <w:t xml:space="preserve">6.1 </w:t>
      </w:r>
      <w:r>
        <w:rPr>
          <w:rFonts w:eastAsiaTheme="majorEastAsia"/>
          <w:sz w:val="24"/>
        </w:rPr>
        <w:t>紫外可见光分光光度计。</w:t>
      </w:r>
    </w:p>
    <w:p>
      <w:pPr>
        <w:rPr>
          <w:color w:val="000000" w:themeColor="text1"/>
          <w:sz w:val="24"/>
          <w14:textFill>
            <w14:solidFill>
              <w14:schemeClr w14:val="tx1"/>
            </w14:solidFill>
          </w14:textFill>
        </w:rPr>
      </w:pPr>
      <w:r>
        <w:rPr>
          <w:b/>
          <w:sz w:val="24"/>
        </w:rPr>
        <w:t xml:space="preserve">6.2 </w:t>
      </w:r>
      <w:r>
        <w:rPr>
          <w:color w:val="000000" w:themeColor="text1"/>
          <w:sz w:val="24"/>
          <w14:textFill>
            <w14:solidFill>
              <w14:schemeClr w14:val="tx1"/>
            </w14:solidFill>
          </w14:textFill>
        </w:rPr>
        <w:t>恒温水浴锅。</w:t>
      </w:r>
    </w:p>
    <w:p>
      <w:pPr>
        <w:rPr>
          <w:color w:val="000000"/>
          <w:sz w:val="24"/>
        </w:rPr>
      </w:pPr>
      <w:r>
        <w:rPr>
          <w:b/>
          <w:sz w:val="24"/>
        </w:rPr>
        <w:t>6.3</w:t>
      </w:r>
      <w:r>
        <w:rPr>
          <w:color w:val="000000" w:themeColor="text1"/>
          <w:sz w:val="24"/>
          <w14:textFill>
            <w14:solidFill>
              <w14:schemeClr w14:val="tx1"/>
            </w14:solidFill>
          </w14:textFill>
        </w:rPr>
        <w:t xml:space="preserve"> </w:t>
      </w:r>
      <w:r>
        <w:rPr>
          <w:rFonts w:eastAsiaTheme="majorEastAsia"/>
          <w:sz w:val="24"/>
        </w:rPr>
        <w:t>分析天平：感量0.01 mg</w:t>
      </w:r>
      <w:r>
        <w:rPr>
          <w:color w:val="000000"/>
          <w:sz w:val="24"/>
        </w:rPr>
        <w:t>。</w:t>
      </w:r>
    </w:p>
    <w:p>
      <w:pPr>
        <w:rPr>
          <w:color w:val="000000"/>
          <w:sz w:val="24"/>
        </w:rPr>
      </w:pPr>
      <w:r>
        <w:rPr>
          <w:b/>
          <w:sz w:val="24"/>
        </w:rPr>
        <w:t xml:space="preserve">6.4 </w:t>
      </w:r>
      <w:r>
        <w:rPr>
          <w:color w:val="000000"/>
          <w:sz w:val="24"/>
        </w:rPr>
        <w:t>涡旋混匀器</w:t>
      </w:r>
    </w:p>
    <w:p>
      <w:pPr>
        <w:rPr>
          <w:color w:val="000000"/>
          <w:sz w:val="24"/>
        </w:rPr>
      </w:pPr>
      <w:r>
        <w:rPr>
          <w:b/>
          <w:sz w:val="24"/>
        </w:rPr>
        <w:t xml:space="preserve">6.5 </w:t>
      </w:r>
      <w:r>
        <w:rPr>
          <w:color w:val="000000"/>
          <w:sz w:val="24"/>
        </w:rPr>
        <w:t>烧杯</w:t>
      </w:r>
    </w:p>
    <w:p>
      <w:pPr>
        <w:rPr>
          <w:color w:val="000000"/>
          <w:sz w:val="24"/>
        </w:rPr>
      </w:pPr>
    </w:p>
    <w:p>
      <w:pPr>
        <w:rPr>
          <w:b/>
          <w:sz w:val="24"/>
        </w:rPr>
      </w:pPr>
      <w:r>
        <w:rPr>
          <w:b/>
          <w:sz w:val="24"/>
        </w:rPr>
        <w:t>7   样品</w:t>
      </w:r>
    </w:p>
    <w:p>
      <w:pPr>
        <w:ind w:firstLine="480" w:firstLineChars="200"/>
        <w:rPr>
          <w:color w:val="000000"/>
          <w:sz w:val="24"/>
        </w:rPr>
      </w:pPr>
    </w:p>
    <w:p>
      <w:pPr>
        <w:ind w:firstLine="480" w:firstLineChars="200"/>
        <w:rPr>
          <w:color w:val="000000"/>
          <w:sz w:val="24"/>
        </w:rPr>
      </w:pPr>
      <w:r>
        <w:rPr>
          <w:color w:val="000000"/>
          <w:sz w:val="24"/>
        </w:rPr>
        <w:t>蜂王浆解冻至25℃，用玻璃棒搅拌均匀。</w:t>
      </w:r>
    </w:p>
    <w:p>
      <w:pPr>
        <w:ind w:firstLine="480" w:firstLineChars="200"/>
        <w:rPr>
          <w:color w:val="000000"/>
          <w:sz w:val="24"/>
        </w:rPr>
      </w:pPr>
    </w:p>
    <w:p>
      <w:pPr>
        <w:rPr>
          <w:b/>
          <w:sz w:val="24"/>
        </w:rPr>
      </w:pPr>
      <w:r>
        <w:rPr>
          <w:b/>
          <w:sz w:val="24"/>
        </w:rPr>
        <w:t>8   试验步骤</w:t>
      </w:r>
    </w:p>
    <w:p>
      <w:pPr>
        <w:rPr>
          <w:b/>
          <w:sz w:val="24"/>
        </w:rPr>
      </w:pPr>
    </w:p>
    <w:p>
      <w:pPr>
        <w:rPr>
          <w:b/>
          <w:sz w:val="24"/>
        </w:rPr>
      </w:pPr>
      <w:r>
        <w:rPr>
          <w:b/>
          <w:sz w:val="24"/>
        </w:rPr>
        <w:t>8.1 蜂王浆中蛋白质含量测定</w:t>
      </w:r>
    </w:p>
    <w:p>
      <w:pPr>
        <w:ind w:firstLine="480" w:firstLineChars="200"/>
        <w:rPr>
          <w:color w:val="000000"/>
          <w:sz w:val="24"/>
        </w:rPr>
      </w:pPr>
    </w:p>
    <w:p>
      <w:pPr>
        <w:ind w:firstLine="480" w:firstLineChars="200"/>
        <w:rPr>
          <w:color w:val="000000"/>
          <w:sz w:val="24"/>
        </w:rPr>
      </w:pPr>
      <w:r>
        <w:rPr>
          <w:color w:val="000000"/>
          <w:sz w:val="24"/>
        </w:rPr>
        <w:t>按GB 9697-2008中5.4规定执行。</w:t>
      </w:r>
    </w:p>
    <w:p>
      <w:pPr>
        <w:ind w:firstLine="480" w:firstLineChars="200"/>
        <w:rPr>
          <w:color w:val="000000"/>
          <w:sz w:val="24"/>
        </w:rPr>
      </w:pPr>
    </w:p>
    <w:p>
      <w:pPr>
        <w:rPr>
          <w:b/>
          <w:sz w:val="24"/>
        </w:rPr>
      </w:pPr>
      <w:r>
        <w:rPr>
          <w:b/>
          <w:sz w:val="24"/>
        </w:rPr>
        <w:t>8.2 试样溶液制备</w:t>
      </w:r>
    </w:p>
    <w:p>
      <w:pPr>
        <w:rPr>
          <w:color w:val="000000"/>
          <w:sz w:val="24"/>
        </w:rPr>
      </w:pPr>
      <w:r>
        <w:rPr>
          <w:b/>
          <w:sz w:val="24"/>
        </w:rPr>
        <w:t xml:space="preserve">   </w:t>
      </w:r>
    </w:p>
    <w:p>
      <w:pPr>
        <w:rPr>
          <w:b/>
          <w:sz w:val="24"/>
        </w:rPr>
      </w:pPr>
      <w:r>
        <w:rPr>
          <w:color w:val="000000"/>
          <w:sz w:val="24"/>
        </w:rPr>
        <w:t xml:space="preserve">    平行做两份试样。准确称取0.5 g（精确至0.01g）样品，用水充分溶解并定容至100 mL，待测。</w:t>
      </w:r>
    </w:p>
    <w:p>
      <w:pPr>
        <w:ind w:firstLine="480" w:firstLineChars="200"/>
        <w:rPr>
          <w:color w:val="000000"/>
          <w:sz w:val="24"/>
        </w:rPr>
      </w:pPr>
    </w:p>
    <w:p>
      <w:pPr>
        <w:rPr>
          <w:b/>
          <w:sz w:val="24"/>
        </w:rPr>
      </w:pPr>
      <w:r>
        <w:rPr>
          <w:b/>
          <w:sz w:val="24"/>
        </w:rPr>
        <w:t>8.3 标准曲线的绘制</w:t>
      </w:r>
    </w:p>
    <w:p>
      <w:pPr>
        <w:rPr>
          <w:b/>
          <w:sz w:val="24"/>
        </w:rPr>
      </w:pPr>
    </w:p>
    <w:p>
      <w:pPr>
        <w:ind w:firstLine="482" w:firstLineChars="200"/>
        <w:rPr>
          <w:color w:val="000000"/>
          <w:sz w:val="24"/>
        </w:rPr>
      </w:pPr>
      <w:r>
        <w:rPr>
          <w:b/>
          <w:sz w:val="24"/>
        </w:rPr>
        <w:t xml:space="preserve">8.3.1 </w:t>
      </w:r>
      <w:r>
        <w:rPr>
          <w:color w:val="000000"/>
          <w:sz w:val="24"/>
        </w:rPr>
        <w:t>制作DMF浓度梯度溶液：分别取DMF准液(5.3) 0、20、50、100、150、200 μL至6支试管中，用水补足至1000 μL。</w:t>
      </w:r>
    </w:p>
    <w:p>
      <w:pPr>
        <w:ind w:firstLine="482" w:firstLineChars="200"/>
        <w:rPr>
          <w:color w:val="000000"/>
          <w:sz w:val="24"/>
        </w:rPr>
      </w:pPr>
      <w:r>
        <w:rPr>
          <w:b/>
          <w:sz w:val="24"/>
        </w:rPr>
        <w:t>8.3.2</w:t>
      </w:r>
      <w:r>
        <w:rPr>
          <w:color w:val="000000"/>
          <w:sz w:val="24"/>
        </w:rPr>
        <w:t>分别取8.3.1溶液各100 μL于6支10 mL试管中。分别加入2 mL 的NBT（57℃±1℃）和2mL的</w:t>
      </w:r>
      <w:bookmarkStart w:id="22" w:name="OLE_LINK3"/>
      <w:r>
        <w:rPr>
          <w:color w:val="000000"/>
          <w:sz w:val="24"/>
        </w:rPr>
        <w:t>Triton X-100溶液（5.5）</w:t>
      </w:r>
      <w:bookmarkEnd w:id="22"/>
      <w:r>
        <w:rPr>
          <w:color w:val="000000"/>
          <w:sz w:val="24"/>
        </w:rPr>
        <w:t>混合均匀。在57℃水浴中反应20 min，在530 nm波长下各试管中反应产物的吸光度。以DMF溶液浓度为横坐标、530 nm处测定吸光度。以DMF为横坐标、吸光度为纵坐标绘制标准曲线。</w:t>
      </w:r>
    </w:p>
    <w:p>
      <w:pPr>
        <w:ind w:firstLine="480" w:firstLineChars="200"/>
        <w:rPr>
          <w:color w:val="000000"/>
          <w:sz w:val="24"/>
        </w:rPr>
      </w:pPr>
    </w:p>
    <w:p>
      <w:pPr>
        <w:rPr>
          <w:b/>
          <w:sz w:val="24"/>
        </w:rPr>
      </w:pPr>
      <w:r>
        <w:rPr>
          <w:b/>
          <w:sz w:val="24"/>
        </w:rPr>
        <w:t>8.4 空白试样制备</w:t>
      </w:r>
    </w:p>
    <w:p>
      <w:pPr>
        <w:ind w:firstLine="482" w:firstLineChars="200"/>
        <w:rPr>
          <w:b/>
          <w:sz w:val="24"/>
        </w:rPr>
      </w:pPr>
      <w:r>
        <w:rPr>
          <w:b/>
          <w:sz w:val="24"/>
        </w:rPr>
        <w:t xml:space="preserve"> </w:t>
      </w:r>
    </w:p>
    <w:p>
      <w:pPr>
        <w:ind w:firstLine="480" w:firstLineChars="200"/>
        <w:rPr>
          <w:color w:val="000000"/>
          <w:sz w:val="24"/>
        </w:rPr>
      </w:pPr>
      <w:r>
        <w:rPr>
          <w:color w:val="000000"/>
          <w:sz w:val="24"/>
        </w:rPr>
        <w:t>精密吸取100 μL试样（7）至10 mL试管中，加入2 mL的水和2 mL Triton X-100溶液（5.5）混匀。</w:t>
      </w:r>
    </w:p>
    <w:p>
      <w:pPr>
        <w:rPr>
          <w:b/>
          <w:sz w:val="24"/>
        </w:rPr>
      </w:pPr>
    </w:p>
    <w:p>
      <w:pPr>
        <w:rPr>
          <w:b/>
          <w:sz w:val="24"/>
        </w:rPr>
      </w:pPr>
      <w:r>
        <w:rPr>
          <w:b/>
          <w:sz w:val="24"/>
        </w:rPr>
        <w:t>8.5 测定</w:t>
      </w:r>
    </w:p>
    <w:p>
      <w:pPr>
        <w:rPr>
          <w:b/>
          <w:sz w:val="24"/>
        </w:rPr>
      </w:pPr>
    </w:p>
    <w:p>
      <w:pPr>
        <w:ind w:firstLine="480" w:firstLineChars="200"/>
        <w:rPr>
          <w:color w:val="000000"/>
          <w:sz w:val="24"/>
        </w:rPr>
      </w:pPr>
      <w:r>
        <w:rPr>
          <w:color w:val="000000"/>
          <w:sz w:val="24"/>
        </w:rPr>
        <w:t>精密吸取100 μL待测液和空白试样至10 mL试管中，按8.3.2步骤进行测定。</w:t>
      </w:r>
    </w:p>
    <w:p>
      <w:pPr>
        <w:rPr>
          <w:b/>
          <w:sz w:val="24"/>
        </w:rPr>
      </w:pPr>
    </w:p>
    <w:p>
      <w:pPr>
        <w:rPr>
          <w:b/>
          <w:sz w:val="24"/>
        </w:rPr>
      </w:pPr>
      <w:r>
        <w:rPr>
          <w:b/>
          <w:sz w:val="24"/>
        </w:rPr>
        <w:t>9   试验数据处理</w:t>
      </w:r>
    </w:p>
    <w:p>
      <w:pPr>
        <w:rPr>
          <w:b/>
          <w:sz w:val="24"/>
        </w:rPr>
      </w:pPr>
    </w:p>
    <w:p>
      <w:pPr>
        <w:ind w:firstLine="480" w:firstLineChars="200"/>
        <w:rPr>
          <w:rFonts w:eastAsiaTheme="majorEastAsia"/>
          <w:color w:val="000000"/>
          <w:sz w:val="24"/>
        </w:rPr>
      </w:pPr>
      <w:r>
        <w:rPr>
          <w:rFonts w:eastAsiaTheme="majorEastAsia"/>
          <w:color w:val="000000"/>
          <w:sz w:val="24"/>
        </w:rPr>
        <w:t>试样中酮胺类糖化蛋白的含量以质量分数W计，数值以毫克每克（mg/g）表示，结果按式（1）计算。</w:t>
      </w:r>
    </w:p>
    <w:p>
      <w:pPr>
        <w:rPr>
          <w:color w:val="000000"/>
          <w:sz w:val="24"/>
        </w:rPr>
      </w:pPr>
      <w:r>
        <w:rPr>
          <w:rFonts w:eastAsiaTheme="majorEastAsia"/>
          <w:color w:val="000000"/>
          <w:sz w:val="24"/>
        </w:rPr>
        <w:t>（1）</w:t>
      </w:r>
      <w:r>
        <w:rPr>
          <w:i/>
          <w:sz w:val="24"/>
        </w:rPr>
        <w:t xml:space="preserve">M </w:t>
      </w:r>
      <w:r>
        <w:rPr>
          <w:sz w:val="24"/>
        </w:rPr>
        <w:t>=</w:t>
      </w:r>
      <m:oMath>
        <m:f>
          <m:fPr>
            <m:ctrlPr>
              <w:rPr>
                <w:rFonts w:ascii="Cambria Math" w:hAnsi="Cambria Math"/>
                <w:sz w:val="24"/>
              </w:rPr>
            </m:ctrlPr>
          </m:fPr>
          <m:num>
            <m:r>
              <m:rPr/>
              <w:rPr>
                <w:rFonts w:ascii="Cambria Math" w:hAnsi="Cambria Math"/>
                <w:sz w:val="24"/>
              </w:rPr>
              <m:t>c×V×249</m:t>
            </m:r>
            <m:ctrlPr>
              <w:rPr>
                <w:rFonts w:ascii="Cambria Math" w:hAnsi="Cambria Math"/>
                <w:sz w:val="24"/>
              </w:rPr>
            </m:ctrlPr>
          </m:num>
          <m:den>
            <m:r>
              <m:rPr/>
              <w:rPr>
                <w:rFonts w:ascii="Cambria Math" w:hAnsi="Cambria Math"/>
                <w:sz w:val="24"/>
              </w:rPr>
              <m:t>m</m:t>
            </m:r>
            <m:ctrlPr>
              <w:rPr>
                <w:rFonts w:ascii="Cambria Math" w:hAnsi="Cambria Math"/>
                <w:sz w:val="24"/>
              </w:rPr>
            </m:ctrlPr>
          </m:den>
        </m:f>
      </m:oMath>
    </w:p>
    <w:p>
      <w:pPr>
        <w:rPr>
          <w:color w:val="000000"/>
          <w:sz w:val="24"/>
        </w:rPr>
      </w:pPr>
      <w:r>
        <w:rPr>
          <w:i/>
          <w:sz w:val="24"/>
        </w:rPr>
        <w:t>c——</w:t>
      </w:r>
      <w:r>
        <w:rPr>
          <w:rFonts w:eastAsiaTheme="majorEastAsia"/>
          <w:color w:val="000000"/>
          <w:sz w:val="24"/>
        </w:rPr>
        <w:t>通过DMF标准曲线计算所得待测样对应的DMF的浓度(mmol/L)</w:t>
      </w:r>
      <w:r>
        <w:rPr>
          <w:color w:val="000000"/>
          <w:sz w:val="24"/>
        </w:rPr>
        <w:t>；</w:t>
      </w:r>
    </w:p>
    <w:p>
      <w:pPr>
        <w:rPr>
          <w:color w:val="000000"/>
          <w:sz w:val="24"/>
        </w:rPr>
      </w:pPr>
      <w:r>
        <w:rPr>
          <w:color w:val="000000"/>
          <w:sz w:val="24"/>
        </w:rPr>
        <w:t>V</w:t>
      </w:r>
      <w:r>
        <w:rPr>
          <w:i/>
          <w:sz w:val="24"/>
        </w:rPr>
        <w:t>——</w:t>
      </w:r>
      <w:r>
        <w:rPr>
          <w:rFonts w:eastAsiaTheme="majorEastAsia"/>
          <w:color w:val="000000"/>
          <w:sz w:val="24"/>
        </w:rPr>
        <w:t>溶解1 g 蜂王浆所用水的体积(L)</w:t>
      </w:r>
      <w:r>
        <w:rPr>
          <w:color w:val="000000"/>
          <w:sz w:val="24"/>
        </w:rPr>
        <w:t>；</w:t>
      </w:r>
    </w:p>
    <w:p>
      <w:pPr>
        <w:rPr>
          <w:color w:val="000000"/>
          <w:sz w:val="24"/>
        </w:rPr>
      </w:pPr>
      <w:r>
        <w:rPr>
          <w:color w:val="000000"/>
          <w:sz w:val="24"/>
        </w:rPr>
        <w:t>249</w:t>
      </w:r>
      <w:r>
        <w:rPr>
          <w:i/>
          <w:sz w:val="24"/>
        </w:rPr>
        <w:t>——</w:t>
      </w:r>
      <w:r>
        <w:rPr>
          <w:rFonts w:eastAsiaTheme="majorEastAsia"/>
          <w:color w:val="000000"/>
          <w:sz w:val="24"/>
        </w:rPr>
        <w:t>DMF的摩尔质量(g/mol)；</w:t>
      </w:r>
    </w:p>
    <w:p>
      <w:pPr>
        <w:rPr>
          <w:color w:val="000000"/>
          <w:sz w:val="24"/>
        </w:rPr>
      </w:pPr>
      <w:r>
        <w:rPr>
          <w:i/>
          <w:iCs/>
          <w:color w:val="000000"/>
          <w:sz w:val="24"/>
        </w:rPr>
        <w:t>m</w:t>
      </w:r>
      <w:r>
        <w:rPr>
          <w:i/>
          <w:sz w:val="24"/>
        </w:rPr>
        <w:t>——</w:t>
      </w:r>
      <w:r>
        <w:rPr>
          <w:rFonts w:eastAsiaTheme="majorEastAsia"/>
          <w:color w:val="000000"/>
          <w:sz w:val="24"/>
        </w:rPr>
        <w:t>每100克蜂王浆所含蛋白质的质量(g)；</w:t>
      </w:r>
    </w:p>
    <w:p>
      <w:pPr>
        <w:rPr>
          <w:color w:val="000000"/>
          <w:sz w:val="24"/>
        </w:rPr>
      </w:pPr>
      <w:r>
        <w:rPr>
          <w:color w:val="000000"/>
          <w:sz w:val="24"/>
        </w:rPr>
        <w:t>结果保留至小数点后两位。</w:t>
      </w:r>
    </w:p>
    <w:p>
      <w:pPr>
        <w:rPr>
          <w:b/>
          <w:sz w:val="24"/>
        </w:rPr>
      </w:pPr>
    </w:p>
    <w:p>
      <w:pPr>
        <w:rPr>
          <w:b/>
          <w:sz w:val="24"/>
        </w:rPr>
      </w:pPr>
      <w:r>
        <w:rPr>
          <w:b/>
          <w:sz w:val="24"/>
        </w:rPr>
        <w:t>10   精密度</w:t>
      </w:r>
    </w:p>
    <w:p>
      <w:pPr>
        <w:ind w:firstLine="480" w:firstLineChars="200"/>
        <w:jc w:val="left"/>
        <w:rPr>
          <w:rFonts w:eastAsiaTheme="majorEastAsia"/>
          <w:color w:val="000000"/>
          <w:sz w:val="24"/>
        </w:rPr>
      </w:pPr>
      <w:r>
        <w:rPr>
          <w:rFonts w:eastAsiaTheme="majorEastAsia"/>
          <w:color w:val="000000"/>
          <w:sz w:val="24"/>
        </w:rPr>
        <w:t>在重复性条件下，两次独立测定结果与其算数平均数的绝对差值不大于算数平均值的15％。</w:t>
      </w:r>
    </w:p>
    <w:p>
      <w:pPr>
        <w:rPr>
          <w:b/>
          <w:sz w:val="24"/>
        </w:rPr>
      </w:pPr>
    </w:p>
    <w:p>
      <w:pPr>
        <w:jc w:val="center"/>
        <w:rPr>
          <w:b/>
          <w:sz w:val="24"/>
        </w:rPr>
      </w:pPr>
      <w:r>
        <w:rPr>
          <w:b/>
          <w:sz w:val="24"/>
        </w:rPr>
        <w:t>————————————————</w:t>
      </w:r>
    </w:p>
    <w:p>
      <w:pPr>
        <w:ind w:firstLine="480" w:firstLineChars="200"/>
        <w:jc w:val="left"/>
        <w:rPr>
          <w:rFonts w:eastAsiaTheme="majorEastAsia"/>
          <w:color w:val="00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Style w:val="12"/>
      </w:rPr>
    </w:pPr>
    <w:r>
      <w:rPr>
        <w:rStyle w:val="12"/>
      </w:rPr>
      <w:fldChar w:fldCharType="begin"/>
    </w:r>
    <w:r>
      <w:rPr>
        <w:rStyle w:val="12"/>
      </w:rPr>
      <w:instrText xml:space="preserve">PAGE  </w:instrText>
    </w:r>
    <w:r>
      <w:rPr>
        <w:rStyle w:val="12"/>
      </w:rPr>
      <w:fldChar w:fldCharType="separate"/>
    </w:r>
    <w:r>
      <w:rPr>
        <w:rStyle w:val="12"/>
      </w:rPr>
      <w:t>8</w:t>
    </w:r>
    <w:r>
      <w:rPr>
        <w:rStyle w:val="1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rPr>
        <w:rStyle w:val="12"/>
      </w:rPr>
      <w:fldChar w:fldCharType="begin"/>
    </w:r>
    <w:r>
      <w:rPr>
        <w:rStyle w:val="12"/>
      </w:rPr>
      <w:instrText xml:space="preserve">PAGE  </w:instrText>
    </w:r>
    <w:r>
      <w:rPr>
        <w:rStyle w:val="12"/>
      </w:rPr>
      <w:fldChar w:fldCharType="separate"/>
    </w:r>
    <w:r>
      <w:rPr>
        <w:rStyle w:val="12"/>
      </w:rPr>
      <w:t>4</w:t>
    </w:r>
    <w:r>
      <w:rPr>
        <w:rStyle w:val="12"/>
      </w:rP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rPr>
        <w:rFonts w:hint="eastAsia"/>
      </w:rPr>
      <w:t>NY</w:t>
    </w:r>
    <w:r>
      <w:t>/T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tLeast"/>
      <w:ind w:firstLine="7200" w:firstLineChars="3000"/>
      <w:jc w:val="right"/>
      <w:rPr>
        <w:bCs/>
        <w:color w:val="000000"/>
        <w:sz w:val="24"/>
      </w:rPr>
    </w:pPr>
  </w:p>
  <w:p>
    <w:pPr>
      <w:pStyle w:val="20"/>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none"/>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EzMTQ1sTQ1sTAxtTRQ0lEKTi0uzszPAykwrgUAghaY2CwAAAA="/>
    <w:docVar w:name="commondata" w:val="eyJoZGlkIjoiNDU5ODk0YTg0YjljMzFlN2E2MDQ4ODVhMGEyNWQxYzcifQ=="/>
  </w:docVars>
  <w:rsids>
    <w:rsidRoot w:val="00DC58DC"/>
    <w:rsid w:val="00001203"/>
    <w:rsid w:val="000018AA"/>
    <w:rsid w:val="0000283B"/>
    <w:rsid w:val="000036B7"/>
    <w:rsid w:val="00004056"/>
    <w:rsid w:val="000045FA"/>
    <w:rsid w:val="00012F56"/>
    <w:rsid w:val="00013E0B"/>
    <w:rsid w:val="00014CFC"/>
    <w:rsid w:val="00022F15"/>
    <w:rsid w:val="00024AC4"/>
    <w:rsid w:val="00027380"/>
    <w:rsid w:val="00030851"/>
    <w:rsid w:val="00032DD5"/>
    <w:rsid w:val="000335BC"/>
    <w:rsid w:val="00034704"/>
    <w:rsid w:val="00040768"/>
    <w:rsid w:val="00040A98"/>
    <w:rsid w:val="00043585"/>
    <w:rsid w:val="0004765B"/>
    <w:rsid w:val="00050625"/>
    <w:rsid w:val="00051827"/>
    <w:rsid w:val="0005361B"/>
    <w:rsid w:val="00055134"/>
    <w:rsid w:val="000577CF"/>
    <w:rsid w:val="0006029C"/>
    <w:rsid w:val="00062A3F"/>
    <w:rsid w:val="000643E2"/>
    <w:rsid w:val="00065889"/>
    <w:rsid w:val="00067885"/>
    <w:rsid w:val="00071446"/>
    <w:rsid w:val="00073BAA"/>
    <w:rsid w:val="0007573C"/>
    <w:rsid w:val="00080B22"/>
    <w:rsid w:val="00080C78"/>
    <w:rsid w:val="000830D8"/>
    <w:rsid w:val="00083AAB"/>
    <w:rsid w:val="0009121B"/>
    <w:rsid w:val="00092F4B"/>
    <w:rsid w:val="00094180"/>
    <w:rsid w:val="00094635"/>
    <w:rsid w:val="000948C6"/>
    <w:rsid w:val="000959DB"/>
    <w:rsid w:val="00097838"/>
    <w:rsid w:val="000A158C"/>
    <w:rsid w:val="000A1611"/>
    <w:rsid w:val="000A1EBF"/>
    <w:rsid w:val="000A5EAF"/>
    <w:rsid w:val="000B315F"/>
    <w:rsid w:val="000B3566"/>
    <w:rsid w:val="000B45E0"/>
    <w:rsid w:val="000B7EAC"/>
    <w:rsid w:val="000C2FB9"/>
    <w:rsid w:val="000C3291"/>
    <w:rsid w:val="000C38DB"/>
    <w:rsid w:val="000C3FA3"/>
    <w:rsid w:val="000C4832"/>
    <w:rsid w:val="000C49D9"/>
    <w:rsid w:val="000C4C08"/>
    <w:rsid w:val="000C7E71"/>
    <w:rsid w:val="000D3B3C"/>
    <w:rsid w:val="000D3E0F"/>
    <w:rsid w:val="000D587A"/>
    <w:rsid w:val="000E2A52"/>
    <w:rsid w:val="000E310D"/>
    <w:rsid w:val="000E4207"/>
    <w:rsid w:val="000E48C6"/>
    <w:rsid w:val="000E59D5"/>
    <w:rsid w:val="000E7F68"/>
    <w:rsid w:val="000F009A"/>
    <w:rsid w:val="000F4E53"/>
    <w:rsid w:val="000F698E"/>
    <w:rsid w:val="000F7EC1"/>
    <w:rsid w:val="0010213C"/>
    <w:rsid w:val="001037B5"/>
    <w:rsid w:val="00103B78"/>
    <w:rsid w:val="00103C61"/>
    <w:rsid w:val="00107322"/>
    <w:rsid w:val="001073BF"/>
    <w:rsid w:val="001078E9"/>
    <w:rsid w:val="00111651"/>
    <w:rsid w:val="00111DDF"/>
    <w:rsid w:val="00113049"/>
    <w:rsid w:val="00114361"/>
    <w:rsid w:val="00116DE7"/>
    <w:rsid w:val="00121E15"/>
    <w:rsid w:val="00132793"/>
    <w:rsid w:val="00133357"/>
    <w:rsid w:val="001334CA"/>
    <w:rsid w:val="00133B73"/>
    <w:rsid w:val="00134CE0"/>
    <w:rsid w:val="00135A24"/>
    <w:rsid w:val="00137382"/>
    <w:rsid w:val="00141C9F"/>
    <w:rsid w:val="00142D14"/>
    <w:rsid w:val="001458F1"/>
    <w:rsid w:val="00145E16"/>
    <w:rsid w:val="001524CF"/>
    <w:rsid w:val="00153CC1"/>
    <w:rsid w:val="00164512"/>
    <w:rsid w:val="0016653F"/>
    <w:rsid w:val="00171152"/>
    <w:rsid w:val="00171A9B"/>
    <w:rsid w:val="0018138F"/>
    <w:rsid w:val="00181F53"/>
    <w:rsid w:val="00184651"/>
    <w:rsid w:val="00187FA3"/>
    <w:rsid w:val="00193006"/>
    <w:rsid w:val="00196952"/>
    <w:rsid w:val="001A03E9"/>
    <w:rsid w:val="001A2D0F"/>
    <w:rsid w:val="001A3DF2"/>
    <w:rsid w:val="001A4F95"/>
    <w:rsid w:val="001A5218"/>
    <w:rsid w:val="001A5F66"/>
    <w:rsid w:val="001B14F9"/>
    <w:rsid w:val="001B2126"/>
    <w:rsid w:val="001B2358"/>
    <w:rsid w:val="001B3149"/>
    <w:rsid w:val="001B3864"/>
    <w:rsid w:val="001B5D12"/>
    <w:rsid w:val="001C044E"/>
    <w:rsid w:val="001C4C97"/>
    <w:rsid w:val="001D118B"/>
    <w:rsid w:val="001D19F6"/>
    <w:rsid w:val="001D2A41"/>
    <w:rsid w:val="001D2D5D"/>
    <w:rsid w:val="001D3D20"/>
    <w:rsid w:val="001D4036"/>
    <w:rsid w:val="001D4159"/>
    <w:rsid w:val="001D6E9C"/>
    <w:rsid w:val="001E3065"/>
    <w:rsid w:val="001E347A"/>
    <w:rsid w:val="001E3502"/>
    <w:rsid w:val="001E37E4"/>
    <w:rsid w:val="001F13A3"/>
    <w:rsid w:val="001F286A"/>
    <w:rsid w:val="001F424A"/>
    <w:rsid w:val="001F4D4B"/>
    <w:rsid w:val="001F743F"/>
    <w:rsid w:val="00200111"/>
    <w:rsid w:val="00203AA2"/>
    <w:rsid w:val="00205394"/>
    <w:rsid w:val="0020560B"/>
    <w:rsid w:val="0020635C"/>
    <w:rsid w:val="00210D22"/>
    <w:rsid w:val="00211A8C"/>
    <w:rsid w:val="002156E5"/>
    <w:rsid w:val="0021627B"/>
    <w:rsid w:val="00217236"/>
    <w:rsid w:val="0022058A"/>
    <w:rsid w:val="00220AF0"/>
    <w:rsid w:val="00221AC4"/>
    <w:rsid w:val="00232D87"/>
    <w:rsid w:val="00234362"/>
    <w:rsid w:val="00236301"/>
    <w:rsid w:val="00236743"/>
    <w:rsid w:val="00240A3B"/>
    <w:rsid w:val="00242ACC"/>
    <w:rsid w:val="00243FC7"/>
    <w:rsid w:val="002460F8"/>
    <w:rsid w:val="00247610"/>
    <w:rsid w:val="002504B1"/>
    <w:rsid w:val="0025746F"/>
    <w:rsid w:val="00260771"/>
    <w:rsid w:val="002614AC"/>
    <w:rsid w:val="002620E6"/>
    <w:rsid w:val="00262F00"/>
    <w:rsid w:val="002636DD"/>
    <w:rsid w:val="0026521E"/>
    <w:rsid w:val="002672C7"/>
    <w:rsid w:val="00267F3D"/>
    <w:rsid w:val="00270994"/>
    <w:rsid w:val="002716DA"/>
    <w:rsid w:val="00273EDC"/>
    <w:rsid w:val="002761C6"/>
    <w:rsid w:val="002776B8"/>
    <w:rsid w:val="002804CF"/>
    <w:rsid w:val="00282D9A"/>
    <w:rsid w:val="002A0A86"/>
    <w:rsid w:val="002A16F4"/>
    <w:rsid w:val="002A2BE7"/>
    <w:rsid w:val="002A3DCB"/>
    <w:rsid w:val="002B112C"/>
    <w:rsid w:val="002C35D1"/>
    <w:rsid w:val="002C53AB"/>
    <w:rsid w:val="002C764F"/>
    <w:rsid w:val="002D1E96"/>
    <w:rsid w:val="002D1FE6"/>
    <w:rsid w:val="002D29D0"/>
    <w:rsid w:val="002E0D9C"/>
    <w:rsid w:val="002E1F7C"/>
    <w:rsid w:val="002E2669"/>
    <w:rsid w:val="002E4028"/>
    <w:rsid w:val="002F1770"/>
    <w:rsid w:val="002F23D8"/>
    <w:rsid w:val="002F2A2E"/>
    <w:rsid w:val="002F2E72"/>
    <w:rsid w:val="002F3569"/>
    <w:rsid w:val="002F3706"/>
    <w:rsid w:val="002F38F0"/>
    <w:rsid w:val="002F5095"/>
    <w:rsid w:val="002F749F"/>
    <w:rsid w:val="0030743C"/>
    <w:rsid w:val="00313798"/>
    <w:rsid w:val="00314057"/>
    <w:rsid w:val="00320A11"/>
    <w:rsid w:val="0032106F"/>
    <w:rsid w:val="00321640"/>
    <w:rsid w:val="00321698"/>
    <w:rsid w:val="00323F0A"/>
    <w:rsid w:val="0032719B"/>
    <w:rsid w:val="0033082B"/>
    <w:rsid w:val="00330A79"/>
    <w:rsid w:val="00331504"/>
    <w:rsid w:val="00331C97"/>
    <w:rsid w:val="00332ED1"/>
    <w:rsid w:val="00334656"/>
    <w:rsid w:val="003356B1"/>
    <w:rsid w:val="003375BE"/>
    <w:rsid w:val="00341F26"/>
    <w:rsid w:val="003444CD"/>
    <w:rsid w:val="00345C4E"/>
    <w:rsid w:val="00350B73"/>
    <w:rsid w:val="003513BF"/>
    <w:rsid w:val="003539F1"/>
    <w:rsid w:val="00354A8B"/>
    <w:rsid w:val="00356CFD"/>
    <w:rsid w:val="00360726"/>
    <w:rsid w:val="00362DF3"/>
    <w:rsid w:val="00366E5B"/>
    <w:rsid w:val="003673E5"/>
    <w:rsid w:val="00367FD1"/>
    <w:rsid w:val="003704D8"/>
    <w:rsid w:val="0037105C"/>
    <w:rsid w:val="003724CB"/>
    <w:rsid w:val="00372A87"/>
    <w:rsid w:val="003752B5"/>
    <w:rsid w:val="00376F93"/>
    <w:rsid w:val="003774D5"/>
    <w:rsid w:val="0038136A"/>
    <w:rsid w:val="00382F69"/>
    <w:rsid w:val="00386CFF"/>
    <w:rsid w:val="00386E4B"/>
    <w:rsid w:val="00392F53"/>
    <w:rsid w:val="00394842"/>
    <w:rsid w:val="00397EE6"/>
    <w:rsid w:val="003A69DB"/>
    <w:rsid w:val="003B04B5"/>
    <w:rsid w:val="003B166A"/>
    <w:rsid w:val="003B3CCB"/>
    <w:rsid w:val="003B466F"/>
    <w:rsid w:val="003B5129"/>
    <w:rsid w:val="003B518B"/>
    <w:rsid w:val="003B5CD5"/>
    <w:rsid w:val="003B7BD1"/>
    <w:rsid w:val="003C0B07"/>
    <w:rsid w:val="003C79A6"/>
    <w:rsid w:val="003C7AA9"/>
    <w:rsid w:val="003D02AD"/>
    <w:rsid w:val="003D2C33"/>
    <w:rsid w:val="003E1E5C"/>
    <w:rsid w:val="003E3AAD"/>
    <w:rsid w:val="003E4029"/>
    <w:rsid w:val="003E6DDD"/>
    <w:rsid w:val="003F0BDB"/>
    <w:rsid w:val="003F133A"/>
    <w:rsid w:val="003F328D"/>
    <w:rsid w:val="003F392C"/>
    <w:rsid w:val="003F5593"/>
    <w:rsid w:val="003F5FF1"/>
    <w:rsid w:val="00403E3F"/>
    <w:rsid w:val="00404974"/>
    <w:rsid w:val="004057B2"/>
    <w:rsid w:val="00411069"/>
    <w:rsid w:val="00411732"/>
    <w:rsid w:val="004142B5"/>
    <w:rsid w:val="00424739"/>
    <w:rsid w:val="0043192F"/>
    <w:rsid w:val="0043259C"/>
    <w:rsid w:val="0043446F"/>
    <w:rsid w:val="0043482B"/>
    <w:rsid w:val="00435204"/>
    <w:rsid w:val="00435785"/>
    <w:rsid w:val="00436256"/>
    <w:rsid w:val="00436BDD"/>
    <w:rsid w:val="00446C62"/>
    <w:rsid w:val="00450331"/>
    <w:rsid w:val="0045072B"/>
    <w:rsid w:val="00455E48"/>
    <w:rsid w:val="00456003"/>
    <w:rsid w:val="0046173A"/>
    <w:rsid w:val="0046212B"/>
    <w:rsid w:val="00463833"/>
    <w:rsid w:val="004648A3"/>
    <w:rsid w:val="00464D5A"/>
    <w:rsid w:val="00464EFC"/>
    <w:rsid w:val="00467CD7"/>
    <w:rsid w:val="00472E87"/>
    <w:rsid w:val="00472FE7"/>
    <w:rsid w:val="00474F68"/>
    <w:rsid w:val="004758C4"/>
    <w:rsid w:val="00485AE1"/>
    <w:rsid w:val="0048620C"/>
    <w:rsid w:val="00491ADC"/>
    <w:rsid w:val="00492B77"/>
    <w:rsid w:val="00492DB7"/>
    <w:rsid w:val="00492E89"/>
    <w:rsid w:val="00493A54"/>
    <w:rsid w:val="00497DCC"/>
    <w:rsid w:val="004A0446"/>
    <w:rsid w:val="004A1D8D"/>
    <w:rsid w:val="004A58C0"/>
    <w:rsid w:val="004A58DF"/>
    <w:rsid w:val="004A6999"/>
    <w:rsid w:val="004B07C0"/>
    <w:rsid w:val="004B0FA9"/>
    <w:rsid w:val="004B1F17"/>
    <w:rsid w:val="004B4D95"/>
    <w:rsid w:val="004B74CC"/>
    <w:rsid w:val="004C0628"/>
    <w:rsid w:val="004C1119"/>
    <w:rsid w:val="004C1B5E"/>
    <w:rsid w:val="004C6BBB"/>
    <w:rsid w:val="004D0B41"/>
    <w:rsid w:val="004D75D9"/>
    <w:rsid w:val="004E06F2"/>
    <w:rsid w:val="004E0B22"/>
    <w:rsid w:val="004E50CB"/>
    <w:rsid w:val="004E6C5B"/>
    <w:rsid w:val="004E762F"/>
    <w:rsid w:val="004F232D"/>
    <w:rsid w:val="004F49FB"/>
    <w:rsid w:val="004F550B"/>
    <w:rsid w:val="004F7437"/>
    <w:rsid w:val="004F7D49"/>
    <w:rsid w:val="005009B5"/>
    <w:rsid w:val="005019E0"/>
    <w:rsid w:val="00504102"/>
    <w:rsid w:val="00505011"/>
    <w:rsid w:val="00506018"/>
    <w:rsid w:val="00506D4E"/>
    <w:rsid w:val="00512C63"/>
    <w:rsid w:val="00513F66"/>
    <w:rsid w:val="00522DDB"/>
    <w:rsid w:val="00522F3D"/>
    <w:rsid w:val="0052513B"/>
    <w:rsid w:val="00525510"/>
    <w:rsid w:val="00525912"/>
    <w:rsid w:val="005277DD"/>
    <w:rsid w:val="0053297A"/>
    <w:rsid w:val="00533215"/>
    <w:rsid w:val="005332D4"/>
    <w:rsid w:val="005343B4"/>
    <w:rsid w:val="00536463"/>
    <w:rsid w:val="0053755E"/>
    <w:rsid w:val="00541A32"/>
    <w:rsid w:val="005435D7"/>
    <w:rsid w:val="0054471C"/>
    <w:rsid w:val="00544C1F"/>
    <w:rsid w:val="00545AC7"/>
    <w:rsid w:val="0054636E"/>
    <w:rsid w:val="00547272"/>
    <w:rsid w:val="00550740"/>
    <w:rsid w:val="005510FA"/>
    <w:rsid w:val="005523B3"/>
    <w:rsid w:val="0055266C"/>
    <w:rsid w:val="005529D1"/>
    <w:rsid w:val="00553A7E"/>
    <w:rsid w:val="005554DC"/>
    <w:rsid w:val="0055610E"/>
    <w:rsid w:val="005714C7"/>
    <w:rsid w:val="00571A2A"/>
    <w:rsid w:val="0057348B"/>
    <w:rsid w:val="00573BE3"/>
    <w:rsid w:val="00574D83"/>
    <w:rsid w:val="005822E6"/>
    <w:rsid w:val="00587175"/>
    <w:rsid w:val="00593163"/>
    <w:rsid w:val="0059382B"/>
    <w:rsid w:val="00595456"/>
    <w:rsid w:val="0059624C"/>
    <w:rsid w:val="00596262"/>
    <w:rsid w:val="0059798F"/>
    <w:rsid w:val="005A0B4F"/>
    <w:rsid w:val="005A3113"/>
    <w:rsid w:val="005A3B94"/>
    <w:rsid w:val="005A4AE7"/>
    <w:rsid w:val="005A5B25"/>
    <w:rsid w:val="005A7225"/>
    <w:rsid w:val="005A77E1"/>
    <w:rsid w:val="005A7CEB"/>
    <w:rsid w:val="005B0F0F"/>
    <w:rsid w:val="005B48CF"/>
    <w:rsid w:val="005B5A7D"/>
    <w:rsid w:val="005B71C8"/>
    <w:rsid w:val="005C0984"/>
    <w:rsid w:val="005C0C9E"/>
    <w:rsid w:val="005C2A31"/>
    <w:rsid w:val="005C6F57"/>
    <w:rsid w:val="005D43BA"/>
    <w:rsid w:val="005D54FD"/>
    <w:rsid w:val="005D5ABB"/>
    <w:rsid w:val="005D654E"/>
    <w:rsid w:val="005E1556"/>
    <w:rsid w:val="005E48CE"/>
    <w:rsid w:val="005E5410"/>
    <w:rsid w:val="005F1DBD"/>
    <w:rsid w:val="005F1ECF"/>
    <w:rsid w:val="005F541B"/>
    <w:rsid w:val="005F6BD8"/>
    <w:rsid w:val="005F7D81"/>
    <w:rsid w:val="005F7E32"/>
    <w:rsid w:val="00600AA7"/>
    <w:rsid w:val="00600EF1"/>
    <w:rsid w:val="006015DD"/>
    <w:rsid w:val="0060271C"/>
    <w:rsid w:val="00606BF8"/>
    <w:rsid w:val="0061081A"/>
    <w:rsid w:val="0061182B"/>
    <w:rsid w:val="00612C20"/>
    <w:rsid w:val="00613589"/>
    <w:rsid w:val="00613D7B"/>
    <w:rsid w:val="00617C4A"/>
    <w:rsid w:val="00617C88"/>
    <w:rsid w:val="00620554"/>
    <w:rsid w:val="006221E1"/>
    <w:rsid w:val="00625286"/>
    <w:rsid w:val="0062593B"/>
    <w:rsid w:val="00626D21"/>
    <w:rsid w:val="00630679"/>
    <w:rsid w:val="0063570D"/>
    <w:rsid w:val="00635988"/>
    <w:rsid w:val="00641F36"/>
    <w:rsid w:val="006455C9"/>
    <w:rsid w:val="00645984"/>
    <w:rsid w:val="00646607"/>
    <w:rsid w:val="00650E2F"/>
    <w:rsid w:val="00650E5B"/>
    <w:rsid w:val="00651DC4"/>
    <w:rsid w:val="00651F57"/>
    <w:rsid w:val="006536B9"/>
    <w:rsid w:val="00653AAF"/>
    <w:rsid w:val="00653D6A"/>
    <w:rsid w:val="00654495"/>
    <w:rsid w:val="006569ED"/>
    <w:rsid w:val="00660E27"/>
    <w:rsid w:val="006612ED"/>
    <w:rsid w:val="0066487B"/>
    <w:rsid w:val="00667800"/>
    <w:rsid w:val="00667D8A"/>
    <w:rsid w:val="006814A4"/>
    <w:rsid w:val="006835EF"/>
    <w:rsid w:val="006861B5"/>
    <w:rsid w:val="00686615"/>
    <w:rsid w:val="00693329"/>
    <w:rsid w:val="006935AE"/>
    <w:rsid w:val="006939F6"/>
    <w:rsid w:val="00695893"/>
    <w:rsid w:val="00696274"/>
    <w:rsid w:val="00697BA7"/>
    <w:rsid w:val="006A3FC8"/>
    <w:rsid w:val="006A7450"/>
    <w:rsid w:val="006B0D34"/>
    <w:rsid w:val="006B102F"/>
    <w:rsid w:val="006C606A"/>
    <w:rsid w:val="006C6FB3"/>
    <w:rsid w:val="006D1217"/>
    <w:rsid w:val="006D32D8"/>
    <w:rsid w:val="006D37A2"/>
    <w:rsid w:val="006D5B89"/>
    <w:rsid w:val="006D7AE9"/>
    <w:rsid w:val="006E0E47"/>
    <w:rsid w:val="006E7D3B"/>
    <w:rsid w:val="006F1AB6"/>
    <w:rsid w:val="006F21E5"/>
    <w:rsid w:val="006F3DB3"/>
    <w:rsid w:val="006F3E58"/>
    <w:rsid w:val="006F5235"/>
    <w:rsid w:val="00700B36"/>
    <w:rsid w:val="00710901"/>
    <w:rsid w:val="00713510"/>
    <w:rsid w:val="00713B67"/>
    <w:rsid w:val="00716ECD"/>
    <w:rsid w:val="007206B5"/>
    <w:rsid w:val="00722379"/>
    <w:rsid w:val="00723803"/>
    <w:rsid w:val="007256BC"/>
    <w:rsid w:val="00726B50"/>
    <w:rsid w:val="0074282F"/>
    <w:rsid w:val="00744F12"/>
    <w:rsid w:val="00747892"/>
    <w:rsid w:val="00752E60"/>
    <w:rsid w:val="00752EEB"/>
    <w:rsid w:val="0075625C"/>
    <w:rsid w:val="00757D4D"/>
    <w:rsid w:val="00762B08"/>
    <w:rsid w:val="0076300B"/>
    <w:rsid w:val="0076320B"/>
    <w:rsid w:val="00766E3A"/>
    <w:rsid w:val="00767462"/>
    <w:rsid w:val="00771BE9"/>
    <w:rsid w:val="007749CE"/>
    <w:rsid w:val="00781337"/>
    <w:rsid w:val="00781421"/>
    <w:rsid w:val="00782B12"/>
    <w:rsid w:val="00784B24"/>
    <w:rsid w:val="007857FE"/>
    <w:rsid w:val="00786394"/>
    <w:rsid w:val="007868DC"/>
    <w:rsid w:val="00792A86"/>
    <w:rsid w:val="007932FF"/>
    <w:rsid w:val="00793A36"/>
    <w:rsid w:val="007964EE"/>
    <w:rsid w:val="00796828"/>
    <w:rsid w:val="00796D9D"/>
    <w:rsid w:val="007A2B1C"/>
    <w:rsid w:val="007A2DA7"/>
    <w:rsid w:val="007A5606"/>
    <w:rsid w:val="007B013B"/>
    <w:rsid w:val="007B01A0"/>
    <w:rsid w:val="007B15FA"/>
    <w:rsid w:val="007B1C5D"/>
    <w:rsid w:val="007B30BB"/>
    <w:rsid w:val="007B44B0"/>
    <w:rsid w:val="007B4EE8"/>
    <w:rsid w:val="007B52A7"/>
    <w:rsid w:val="007B6C41"/>
    <w:rsid w:val="007C020F"/>
    <w:rsid w:val="007C104F"/>
    <w:rsid w:val="007C2017"/>
    <w:rsid w:val="007C2115"/>
    <w:rsid w:val="007C31D9"/>
    <w:rsid w:val="007C3DAF"/>
    <w:rsid w:val="007C5687"/>
    <w:rsid w:val="007C7206"/>
    <w:rsid w:val="007C75EA"/>
    <w:rsid w:val="007D35C8"/>
    <w:rsid w:val="007D759E"/>
    <w:rsid w:val="007D7D05"/>
    <w:rsid w:val="007E0791"/>
    <w:rsid w:val="007E5B6C"/>
    <w:rsid w:val="007E6FD3"/>
    <w:rsid w:val="007E7712"/>
    <w:rsid w:val="007F0DEE"/>
    <w:rsid w:val="007F40CB"/>
    <w:rsid w:val="007F4C88"/>
    <w:rsid w:val="007F5874"/>
    <w:rsid w:val="007F5A7F"/>
    <w:rsid w:val="007F7111"/>
    <w:rsid w:val="007F7A66"/>
    <w:rsid w:val="00801E3C"/>
    <w:rsid w:val="00804104"/>
    <w:rsid w:val="0081016D"/>
    <w:rsid w:val="00810365"/>
    <w:rsid w:val="008105A7"/>
    <w:rsid w:val="008115AA"/>
    <w:rsid w:val="008129BD"/>
    <w:rsid w:val="008136E4"/>
    <w:rsid w:val="00814651"/>
    <w:rsid w:val="00817AA6"/>
    <w:rsid w:val="00820A59"/>
    <w:rsid w:val="0082198C"/>
    <w:rsid w:val="00821FB0"/>
    <w:rsid w:val="008234F9"/>
    <w:rsid w:val="00824F7F"/>
    <w:rsid w:val="008316D7"/>
    <w:rsid w:val="00832F1D"/>
    <w:rsid w:val="00840749"/>
    <w:rsid w:val="00842395"/>
    <w:rsid w:val="00842C1D"/>
    <w:rsid w:val="00843B7D"/>
    <w:rsid w:val="00844652"/>
    <w:rsid w:val="00844B2F"/>
    <w:rsid w:val="00846090"/>
    <w:rsid w:val="00847409"/>
    <w:rsid w:val="008520C7"/>
    <w:rsid w:val="008522A8"/>
    <w:rsid w:val="008522AC"/>
    <w:rsid w:val="00854EE6"/>
    <w:rsid w:val="00856F07"/>
    <w:rsid w:val="00857A4D"/>
    <w:rsid w:val="00863400"/>
    <w:rsid w:val="008641D5"/>
    <w:rsid w:val="008761D8"/>
    <w:rsid w:val="008778B3"/>
    <w:rsid w:val="00880B24"/>
    <w:rsid w:val="00881320"/>
    <w:rsid w:val="00881876"/>
    <w:rsid w:val="00881EDF"/>
    <w:rsid w:val="00882F6A"/>
    <w:rsid w:val="00886B79"/>
    <w:rsid w:val="008906DB"/>
    <w:rsid w:val="00890BC2"/>
    <w:rsid w:val="0089175D"/>
    <w:rsid w:val="00891A01"/>
    <w:rsid w:val="00894399"/>
    <w:rsid w:val="008952DF"/>
    <w:rsid w:val="00897E32"/>
    <w:rsid w:val="008A0E90"/>
    <w:rsid w:val="008A1E49"/>
    <w:rsid w:val="008A3C95"/>
    <w:rsid w:val="008A439E"/>
    <w:rsid w:val="008A4767"/>
    <w:rsid w:val="008A5712"/>
    <w:rsid w:val="008A6F31"/>
    <w:rsid w:val="008B0D79"/>
    <w:rsid w:val="008B2FAA"/>
    <w:rsid w:val="008C0339"/>
    <w:rsid w:val="008C0F8A"/>
    <w:rsid w:val="008C12B6"/>
    <w:rsid w:val="008C2939"/>
    <w:rsid w:val="008D0DB3"/>
    <w:rsid w:val="008D2437"/>
    <w:rsid w:val="008E10ED"/>
    <w:rsid w:val="008E5286"/>
    <w:rsid w:val="008E52F8"/>
    <w:rsid w:val="008E735D"/>
    <w:rsid w:val="008F0008"/>
    <w:rsid w:val="008F212B"/>
    <w:rsid w:val="008F24F7"/>
    <w:rsid w:val="008F66BF"/>
    <w:rsid w:val="008F7E50"/>
    <w:rsid w:val="00904C10"/>
    <w:rsid w:val="00906A1A"/>
    <w:rsid w:val="00906FA1"/>
    <w:rsid w:val="009147D2"/>
    <w:rsid w:val="00914B70"/>
    <w:rsid w:val="00915E99"/>
    <w:rsid w:val="00921808"/>
    <w:rsid w:val="0092492B"/>
    <w:rsid w:val="009250CB"/>
    <w:rsid w:val="00925416"/>
    <w:rsid w:val="009328A0"/>
    <w:rsid w:val="00934594"/>
    <w:rsid w:val="00934CC7"/>
    <w:rsid w:val="00942548"/>
    <w:rsid w:val="00942DB3"/>
    <w:rsid w:val="00943E5B"/>
    <w:rsid w:val="00944D5A"/>
    <w:rsid w:val="00946265"/>
    <w:rsid w:val="0094627B"/>
    <w:rsid w:val="00947EB0"/>
    <w:rsid w:val="00950438"/>
    <w:rsid w:val="00950824"/>
    <w:rsid w:val="009566B4"/>
    <w:rsid w:val="009575A8"/>
    <w:rsid w:val="009646C8"/>
    <w:rsid w:val="009652A8"/>
    <w:rsid w:val="009712D8"/>
    <w:rsid w:val="009719FD"/>
    <w:rsid w:val="00973C91"/>
    <w:rsid w:val="009746F9"/>
    <w:rsid w:val="00976B5A"/>
    <w:rsid w:val="009805E3"/>
    <w:rsid w:val="009818A1"/>
    <w:rsid w:val="0098280D"/>
    <w:rsid w:val="00983FBE"/>
    <w:rsid w:val="00984C0E"/>
    <w:rsid w:val="00985483"/>
    <w:rsid w:val="00985611"/>
    <w:rsid w:val="00990E8A"/>
    <w:rsid w:val="00995C74"/>
    <w:rsid w:val="009A05FE"/>
    <w:rsid w:val="009A0ABF"/>
    <w:rsid w:val="009A1A98"/>
    <w:rsid w:val="009A6FE9"/>
    <w:rsid w:val="009B0268"/>
    <w:rsid w:val="009B07F0"/>
    <w:rsid w:val="009B0A0C"/>
    <w:rsid w:val="009B13AB"/>
    <w:rsid w:val="009B2125"/>
    <w:rsid w:val="009B4031"/>
    <w:rsid w:val="009B7463"/>
    <w:rsid w:val="009C1791"/>
    <w:rsid w:val="009C3EB6"/>
    <w:rsid w:val="009C557F"/>
    <w:rsid w:val="009C6200"/>
    <w:rsid w:val="009C740A"/>
    <w:rsid w:val="009D1FC9"/>
    <w:rsid w:val="009D1FDB"/>
    <w:rsid w:val="009D25E9"/>
    <w:rsid w:val="009D2E22"/>
    <w:rsid w:val="009D3495"/>
    <w:rsid w:val="009D3A16"/>
    <w:rsid w:val="009D5950"/>
    <w:rsid w:val="009D59E2"/>
    <w:rsid w:val="009E05B4"/>
    <w:rsid w:val="009E0CF4"/>
    <w:rsid w:val="009E2D3D"/>
    <w:rsid w:val="009E5279"/>
    <w:rsid w:val="009E632A"/>
    <w:rsid w:val="009E7060"/>
    <w:rsid w:val="009E731B"/>
    <w:rsid w:val="009E7931"/>
    <w:rsid w:val="009F02A0"/>
    <w:rsid w:val="009F0CFB"/>
    <w:rsid w:val="009F5C95"/>
    <w:rsid w:val="009F6C28"/>
    <w:rsid w:val="00A01ECC"/>
    <w:rsid w:val="00A02C5E"/>
    <w:rsid w:val="00A03A33"/>
    <w:rsid w:val="00A05E96"/>
    <w:rsid w:val="00A072CC"/>
    <w:rsid w:val="00A0733F"/>
    <w:rsid w:val="00A07C31"/>
    <w:rsid w:val="00A1330A"/>
    <w:rsid w:val="00A13456"/>
    <w:rsid w:val="00A15ECA"/>
    <w:rsid w:val="00A177F2"/>
    <w:rsid w:val="00A205C1"/>
    <w:rsid w:val="00A22950"/>
    <w:rsid w:val="00A26344"/>
    <w:rsid w:val="00A26F7A"/>
    <w:rsid w:val="00A27318"/>
    <w:rsid w:val="00A30324"/>
    <w:rsid w:val="00A30C1D"/>
    <w:rsid w:val="00A321D6"/>
    <w:rsid w:val="00A32E40"/>
    <w:rsid w:val="00A33FE9"/>
    <w:rsid w:val="00A34CFF"/>
    <w:rsid w:val="00A36201"/>
    <w:rsid w:val="00A36305"/>
    <w:rsid w:val="00A37D3F"/>
    <w:rsid w:val="00A406F9"/>
    <w:rsid w:val="00A4111D"/>
    <w:rsid w:val="00A41506"/>
    <w:rsid w:val="00A43E13"/>
    <w:rsid w:val="00A44709"/>
    <w:rsid w:val="00A447FE"/>
    <w:rsid w:val="00A46899"/>
    <w:rsid w:val="00A47BE4"/>
    <w:rsid w:val="00A50C86"/>
    <w:rsid w:val="00A51033"/>
    <w:rsid w:val="00A54D70"/>
    <w:rsid w:val="00A56271"/>
    <w:rsid w:val="00A64F8D"/>
    <w:rsid w:val="00A65055"/>
    <w:rsid w:val="00A67EF7"/>
    <w:rsid w:val="00A71C2A"/>
    <w:rsid w:val="00A72411"/>
    <w:rsid w:val="00A73EFB"/>
    <w:rsid w:val="00A7600C"/>
    <w:rsid w:val="00A76640"/>
    <w:rsid w:val="00A804BE"/>
    <w:rsid w:val="00A81B46"/>
    <w:rsid w:val="00A82AB9"/>
    <w:rsid w:val="00A835FA"/>
    <w:rsid w:val="00A83F0F"/>
    <w:rsid w:val="00A873EF"/>
    <w:rsid w:val="00A879FA"/>
    <w:rsid w:val="00A91E8A"/>
    <w:rsid w:val="00A939CB"/>
    <w:rsid w:val="00A9542A"/>
    <w:rsid w:val="00A96BE2"/>
    <w:rsid w:val="00A96FDD"/>
    <w:rsid w:val="00A976F8"/>
    <w:rsid w:val="00AA156D"/>
    <w:rsid w:val="00AB0D09"/>
    <w:rsid w:val="00AB7D36"/>
    <w:rsid w:val="00AC0E5C"/>
    <w:rsid w:val="00AC550B"/>
    <w:rsid w:val="00AC60F2"/>
    <w:rsid w:val="00AC785A"/>
    <w:rsid w:val="00AD29EF"/>
    <w:rsid w:val="00AD4621"/>
    <w:rsid w:val="00AD522C"/>
    <w:rsid w:val="00AD591D"/>
    <w:rsid w:val="00AD6556"/>
    <w:rsid w:val="00AD7509"/>
    <w:rsid w:val="00AD7BFE"/>
    <w:rsid w:val="00AE205D"/>
    <w:rsid w:val="00AE2116"/>
    <w:rsid w:val="00AE21B8"/>
    <w:rsid w:val="00AE407F"/>
    <w:rsid w:val="00AE4A20"/>
    <w:rsid w:val="00AE52BD"/>
    <w:rsid w:val="00AE6763"/>
    <w:rsid w:val="00AE739D"/>
    <w:rsid w:val="00AE73D8"/>
    <w:rsid w:val="00AF070F"/>
    <w:rsid w:val="00AF1A87"/>
    <w:rsid w:val="00AF1C43"/>
    <w:rsid w:val="00AF2BD6"/>
    <w:rsid w:val="00AF301F"/>
    <w:rsid w:val="00AF3E2A"/>
    <w:rsid w:val="00AF472E"/>
    <w:rsid w:val="00AF4F63"/>
    <w:rsid w:val="00AF70F3"/>
    <w:rsid w:val="00B025FD"/>
    <w:rsid w:val="00B034D2"/>
    <w:rsid w:val="00B04E89"/>
    <w:rsid w:val="00B11686"/>
    <w:rsid w:val="00B11D2F"/>
    <w:rsid w:val="00B130EB"/>
    <w:rsid w:val="00B134D7"/>
    <w:rsid w:val="00B14EAB"/>
    <w:rsid w:val="00B17AD4"/>
    <w:rsid w:val="00B202DE"/>
    <w:rsid w:val="00B20C1B"/>
    <w:rsid w:val="00B234D2"/>
    <w:rsid w:val="00B25910"/>
    <w:rsid w:val="00B26BF0"/>
    <w:rsid w:val="00B3540B"/>
    <w:rsid w:val="00B35F0F"/>
    <w:rsid w:val="00B36229"/>
    <w:rsid w:val="00B363C7"/>
    <w:rsid w:val="00B42E09"/>
    <w:rsid w:val="00B42EC2"/>
    <w:rsid w:val="00B4651F"/>
    <w:rsid w:val="00B46E3C"/>
    <w:rsid w:val="00B47186"/>
    <w:rsid w:val="00B47D78"/>
    <w:rsid w:val="00B51167"/>
    <w:rsid w:val="00B55363"/>
    <w:rsid w:val="00B557C6"/>
    <w:rsid w:val="00B55BA6"/>
    <w:rsid w:val="00B57271"/>
    <w:rsid w:val="00B572E4"/>
    <w:rsid w:val="00B60AB9"/>
    <w:rsid w:val="00B60AD3"/>
    <w:rsid w:val="00B614B0"/>
    <w:rsid w:val="00B62425"/>
    <w:rsid w:val="00B66487"/>
    <w:rsid w:val="00B671B1"/>
    <w:rsid w:val="00B67379"/>
    <w:rsid w:val="00B73228"/>
    <w:rsid w:val="00B73AB9"/>
    <w:rsid w:val="00B741C4"/>
    <w:rsid w:val="00B7766A"/>
    <w:rsid w:val="00B8042A"/>
    <w:rsid w:val="00B8261E"/>
    <w:rsid w:val="00B83830"/>
    <w:rsid w:val="00B84657"/>
    <w:rsid w:val="00B8510B"/>
    <w:rsid w:val="00B87972"/>
    <w:rsid w:val="00B9045E"/>
    <w:rsid w:val="00B943E9"/>
    <w:rsid w:val="00BA09B0"/>
    <w:rsid w:val="00BA0AE1"/>
    <w:rsid w:val="00BA6636"/>
    <w:rsid w:val="00BB0B10"/>
    <w:rsid w:val="00BB0B96"/>
    <w:rsid w:val="00BB3CE6"/>
    <w:rsid w:val="00BB40E8"/>
    <w:rsid w:val="00BB48A0"/>
    <w:rsid w:val="00BB77CD"/>
    <w:rsid w:val="00BC0F6C"/>
    <w:rsid w:val="00BC36F8"/>
    <w:rsid w:val="00BC525C"/>
    <w:rsid w:val="00BC5E31"/>
    <w:rsid w:val="00BC6214"/>
    <w:rsid w:val="00BD4490"/>
    <w:rsid w:val="00BD4DE2"/>
    <w:rsid w:val="00BE160F"/>
    <w:rsid w:val="00BE1B14"/>
    <w:rsid w:val="00BE2C0F"/>
    <w:rsid w:val="00BE2C53"/>
    <w:rsid w:val="00BE3B1A"/>
    <w:rsid w:val="00BE4DBC"/>
    <w:rsid w:val="00BE505C"/>
    <w:rsid w:val="00BE68AE"/>
    <w:rsid w:val="00BE7138"/>
    <w:rsid w:val="00BE7426"/>
    <w:rsid w:val="00BE7E42"/>
    <w:rsid w:val="00BF05D9"/>
    <w:rsid w:val="00BF086D"/>
    <w:rsid w:val="00BF132D"/>
    <w:rsid w:val="00BF4A0C"/>
    <w:rsid w:val="00BF6C0B"/>
    <w:rsid w:val="00C03016"/>
    <w:rsid w:val="00C03503"/>
    <w:rsid w:val="00C050F8"/>
    <w:rsid w:val="00C066DB"/>
    <w:rsid w:val="00C075B8"/>
    <w:rsid w:val="00C11E85"/>
    <w:rsid w:val="00C131C4"/>
    <w:rsid w:val="00C17166"/>
    <w:rsid w:val="00C17D14"/>
    <w:rsid w:val="00C20769"/>
    <w:rsid w:val="00C208B2"/>
    <w:rsid w:val="00C23427"/>
    <w:rsid w:val="00C23E21"/>
    <w:rsid w:val="00C24AF2"/>
    <w:rsid w:val="00C26716"/>
    <w:rsid w:val="00C30AE0"/>
    <w:rsid w:val="00C427CC"/>
    <w:rsid w:val="00C46203"/>
    <w:rsid w:val="00C47841"/>
    <w:rsid w:val="00C47961"/>
    <w:rsid w:val="00C536AB"/>
    <w:rsid w:val="00C56755"/>
    <w:rsid w:val="00C56A3D"/>
    <w:rsid w:val="00C572E2"/>
    <w:rsid w:val="00C605EF"/>
    <w:rsid w:val="00C60FBA"/>
    <w:rsid w:val="00C61A2D"/>
    <w:rsid w:val="00C63421"/>
    <w:rsid w:val="00C63DBD"/>
    <w:rsid w:val="00C63DD5"/>
    <w:rsid w:val="00C64017"/>
    <w:rsid w:val="00C66308"/>
    <w:rsid w:val="00C706ED"/>
    <w:rsid w:val="00C72287"/>
    <w:rsid w:val="00C73FA4"/>
    <w:rsid w:val="00C76469"/>
    <w:rsid w:val="00C80419"/>
    <w:rsid w:val="00C80691"/>
    <w:rsid w:val="00C81FAE"/>
    <w:rsid w:val="00C8391F"/>
    <w:rsid w:val="00C83F31"/>
    <w:rsid w:val="00C877AD"/>
    <w:rsid w:val="00C9131A"/>
    <w:rsid w:val="00C91A45"/>
    <w:rsid w:val="00C937EF"/>
    <w:rsid w:val="00C9410A"/>
    <w:rsid w:val="00C9502F"/>
    <w:rsid w:val="00C96A84"/>
    <w:rsid w:val="00CA0A50"/>
    <w:rsid w:val="00CA11FD"/>
    <w:rsid w:val="00CA462F"/>
    <w:rsid w:val="00CB2BE7"/>
    <w:rsid w:val="00CB3918"/>
    <w:rsid w:val="00CB448C"/>
    <w:rsid w:val="00CB4864"/>
    <w:rsid w:val="00CB4C6E"/>
    <w:rsid w:val="00CB5126"/>
    <w:rsid w:val="00CB513F"/>
    <w:rsid w:val="00CB70B1"/>
    <w:rsid w:val="00CC175E"/>
    <w:rsid w:val="00CC4C27"/>
    <w:rsid w:val="00CC7760"/>
    <w:rsid w:val="00CD003D"/>
    <w:rsid w:val="00CD2AE7"/>
    <w:rsid w:val="00CD40FD"/>
    <w:rsid w:val="00CD4899"/>
    <w:rsid w:val="00CD7B4E"/>
    <w:rsid w:val="00CE0975"/>
    <w:rsid w:val="00CE0A02"/>
    <w:rsid w:val="00CE2438"/>
    <w:rsid w:val="00CE3709"/>
    <w:rsid w:val="00CE3B76"/>
    <w:rsid w:val="00CE3B7C"/>
    <w:rsid w:val="00CE74D6"/>
    <w:rsid w:val="00CE7935"/>
    <w:rsid w:val="00CF081A"/>
    <w:rsid w:val="00CF3C63"/>
    <w:rsid w:val="00CF401C"/>
    <w:rsid w:val="00CF555D"/>
    <w:rsid w:val="00CF78C4"/>
    <w:rsid w:val="00D05DC3"/>
    <w:rsid w:val="00D06E85"/>
    <w:rsid w:val="00D111C6"/>
    <w:rsid w:val="00D14D08"/>
    <w:rsid w:val="00D1551F"/>
    <w:rsid w:val="00D20FCB"/>
    <w:rsid w:val="00D25350"/>
    <w:rsid w:val="00D25D74"/>
    <w:rsid w:val="00D26103"/>
    <w:rsid w:val="00D30494"/>
    <w:rsid w:val="00D32F17"/>
    <w:rsid w:val="00D40A4D"/>
    <w:rsid w:val="00D43858"/>
    <w:rsid w:val="00D43E97"/>
    <w:rsid w:val="00D4417F"/>
    <w:rsid w:val="00D449AF"/>
    <w:rsid w:val="00D4502D"/>
    <w:rsid w:val="00D47AD2"/>
    <w:rsid w:val="00D47B6B"/>
    <w:rsid w:val="00D52E97"/>
    <w:rsid w:val="00D53634"/>
    <w:rsid w:val="00D55E7C"/>
    <w:rsid w:val="00D56E67"/>
    <w:rsid w:val="00D624F0"/>
    <w:rsid w:val="00D64108"/>
    <w:rsid w:val="00D720C6"/>
    <w:rsid w:val="00D72A2B"/>
    <w:rsid w:val="00D7349B"/>
    <w:rsid w:val="00D75F47"/>
    <w:rsid w:val="00D80000"/>
    <w:rsid w:val="00D8190D"/>
    <w:rsid w:val="00D8199B"/>
    <w:rsid w:val="00D833FF"/>
    <w:rsid w:val="00D8449B"/>
    <w:rsid w:val="00D84E2C"/>
    <w:rsid w:val="00D85153"/>
    <w:rsid w:val="00D869D5"/>
    <w:rsid w:val="00D86EB2"/>
    <w:rsid w:val="00D86F3A"/>
    <w:rsid w:val="00D87724"/>
    <w:rsid w:val="00D905B3"/>
    <w:rsid w:val="00D905E7"/>
    <w:rsid w:val="00D9385E"/>
    <w:rsid w:val="00D9475A"/>
    <w:rsid w:val="00D954F9"/>
    <w:rsid w:val="00D95641"/>
    <w:rsid w:val="00DA01BA"/>
    <w:rsid w:val="00DA061C"/>
    <w:rsid w:val="00DA3DFE"/>
    <w:rsid w:val="00DA4AA4"/>
    <w:rsid w:val="00DA5CF3"/>
    <w:rsid w:val="00DA5FBD"/>
    <w:rsid w:val="00DB25D4"/>
    <w:rsid w:val="00DB3FE7"/>
    <w:rsid w:val="00DB6D3D"/>
    <w:rsid w:val="00DB6E2D"/>
    <w:rsid w:val="00DC0B90"/>
    <w:rsid w:val="00DC1E89"/>
    <w:rsid w:val="00DC1F53"/>
    <w:rsid w:val="00DC23BB"/>
    <w:rsid w:val="00DC58DC"/>
    <w:rsid w:val="00DC6FE3"/>
    <w:rsid w:val="00DD066D"/>
    <w:rsid w:val="00DD43D6"/>
    <w:rsid w:val="00DD44E2"/>
    <w:rsid w:val="00DD4775"/>
    <w:rsid w:val="00DE303A"/>
    <w:rsid w:val="00DE3379"/>
    <w:rsid w:val="00DE492B"/>
    <w:rsid w:val="00DE7907"/>
    <w:rsid w:val="00DF1D54"/>
    <w:rsid w:val="00DF537C"/>
    <w:rsid w:val="00DF6861"/>
    <w:rsid w:val="00E00F05"/>
    <w:rsid w:val="00E02996"/>
    <w:rsid w:val="00E03880"/>
    <w:rsid w:val="00E04FB3"/>
    <w:rsid w:val="00E05127"/>
    <w:rsid w:val="00E10B3C"/>
    <w:rsid w:val="00E1443C"/>
    <w:rsid w:val="00E1680F"/>
    <w:rsid w:val="00E20E28"/>
    <w:rsid w:val="00E220D0"/>
    <w:rsid w:val="00E23422"/>
    <w:rsid w:val="00E274DC"/>
    <w:rsid w:val="00E31EF9"/>
    <w:rsid w:val="00E36171"/>
    <w:rsid w:val="00E36281"/>
    <w:rsid w:val="00E363CF"/>
    <w:rsid w:val="00E37C00"/>
    <w:rsid w:val="00E413D6"/>
    <w:rsid w:val="00E43274"/>
    <w:rsid w:val="00E45E9C"/>
    <w:rsid w:val="00E479A8"/>
    <w:rsid w:val="00E509C3"/>
    <w:rsid w:val="00E555AD"/>
    <w:rsid w:val="00E55B29"/>
    <w:rsid w:val="00E62929"/>
    <w:rsid w:val="00E62F5B"/>
    <w:rsid w:val="00E63589"/>
    <w:rsid w:val="00E63CE7"/>
    <w:rsid w:val="00E63FA0"/>
    <w:rsid w:val="00E649AF"/>
    <w:rsid w:val="00E66751"/>
    <w:rsid w:val="00E67058"/>
    <w:rsid w:val="00E7028C"/>
    <w:rsid w:val="00E719B2"/>
    <w:rsid w:val="00E72F34"/>
    <w:rsid w:val="00E73892"/>
    <w:rsid w:val="00E73BF6"/>
    <w:rsid w:val="00E73EB7"/>
    <w:rsid w:val="00E83AF5"/>
    <w:rsid w:val="00E860A6"/>
    <w:rsid w:val="00E876E7"/>
    <w:rsid w:val="00E87F1C"/>
    <w:rsid w:val="00E92A1C"/>
    <w:rsid w:val="00E92F36"/>
    <w:rsid w:val="00E93055"/>
    <w:rsid w:val="00E93B26"/>
    <w:rsid w:val="00EA099C"/>
    <w:rsid w:val="00EA1EF9"/>
    <w:rsid w:val="00EA2C22"/>
    <w:rsid w:val="00EA2FAC"/>
    <w:rsid w:val="00EA4019"/>
    <w:rsid w:val="00EA4126"/>
    <w:rsid w:val="00EA4945"/>
    <w:rsid w:val="00EA5B8E"/>
    <w:rsid w:val="00EB0530"/>
    <w:rsid w:val="00EB1BBD"/>
    <w:rsid w:val="00EB1ECB"/>
    <w:rsid w:val="00EB32C0"/>
    <w:rsid w:val="00EB3576"/>
    <w:rsid w:val="00EB398A"/>
    <w:rsid w:val="00EB6E76"/>
    <w:rsid w:val="00EC1BB0"/>
    <w:rsid w:val="00EC1D07"/>
    <w:rsid w:val="00EC255A"/>
    <w:rsid w:val="00EC2CDE"/>
    <w:rsid w:val="00EC3754"/>
    <w:rsid w:val="00EC41AA"/>
    <w:rsid w:val="00EC65E4"/>
    <w:rsid w:val="00ED059D"/>
    <w:rsid w:val="00ED208E"/>
    <w:rsid w:val="00ED76A2"/>
    <w:rsid w:val="00EE062C"/>
    <w:rsid w:val="00EE6399"/>
    <w:rsid w:val="00EF04B4"/>
    <w:rsid w:val="00EF1348"/>
    <w:rsid w:val="00EF1435"/>
    <w:rsid w:val="00EF180E"/>
    <w:rsid w:val="00EF2A8F"/>
    <w:rsid w:val="00EF45BC"/>
    <w:rsid w:val="00EF5402"/>
    <w:rsid w:val="00F01DFB"/>
    <w:rsid w:val="00F02211"/>
    <w:rsid w:val="00F0425D"/>
    <w:rsid w:val="00F046B4"/>
    <w:rsid w:val="00F05057"/>
    <w:rsid w:val="00F051E9"/>
    <w:rsid w:val="00F109D4"/>
    <w:rsid w:val="00F1226D"/>
    <w:rsid w:val="00F14E51"/>
    <w:rsid w:val="00F161EA"/>
    <w:rsid w:val="00F17A3A"/>
    <w:rsid w:val="00F17E11"/>
    <w:rsid w:val="00F22BFD"/>
    <w:rsid w:val="00F24DBC"/>
    <w:rsid w:val="00F31A0A"/>
    <w:rsid w:val="00F347F5"/>
    <w:rsid w:val="00F37BC3"/>
    <w:rsid w:val="00F42040"/>
    <w:rsid w:val="00F478E9"/>
    <w:rsid w:val="00F47CE7"/>
    <w:rsid w:val="00F504C9"/>
    <w:rsid w:val="00F5240E"/>
    <w:rsid w:val="00F536EA"/>
    <w:rsid w:val="00F54AB4"/>
    <w:rsid w:val="00F5614F"/>
    <w:rsid w:val="00F568F6"/>
    <w:rsid w:val="00F56DFA"/>
    <w:rsid w:val="00F60CE6"/>
    <w:rsid w:val="00F63681"/>
    <w:rsid w:val="00F64A0F"/>
    <w:rsid w:val="00F74174"/>
    <w:rsid w:val="00F82573"/>
    <w:rsid w:val="00F84671"/>
    <w:rsid w:val="00F851DD"/>
    <w:rsid w:val="00F868D6"/>
    <w:rsid w:val="00F879FE"/>
    <w:rsid w:val="00F91FCB"/>
    <w:rsid w:val="00F93536"/>
    <w:rsid w:val="00F9365C"/>
    <w:rsid w:val="00F93F95"/>
    <w:rsid w:val="00FA11A2"/>
    <w:rsid w:val="00FA289E"/>
    <w:rsid w:val="00FA5C58"/>
    <w:rsid w:val="00FA7CA1"/>
    <w:rsid w:val="00FB38C2"/>
    <w:rsid w:val="00FB4444"/>
    <w:rsid w:val="00FC0434"/>
    <w:rsid w:val="00FC20E5"/>
    <w:rsid w:val="00FD06C9"/>
    <w:rsid w:val="00FD208A"/>
    <w:rsid w:val="00FD2A8D"/>
    <w:rsid w:val="00FD3845"/>
    <w:rsid w:val="00FD46E7"/>
    <w:rsid w:val="00FD7809"/>
    <w:rsid w:val="00FE05B6"/>
    <w:rsid w:val="00FE2959"/>
    <w:rsid w:val="00FE37B0"/>
    <w:rsid w:val="00FE647A"/>
    <w:rsid w:val="00FF177E"/>
    <w:rsid w:val="00FF178A"/>
    <w:rsid w:val="00FF42FC"/>
    <w:rsid w:val="00FF5377"/>
    <w:rsid w:val="00FF779B"/>
    <w:rsid w:val="160550C9"/>
    <w:rsid w:val="37361D5D"/>
    <w:rsid w:val="3F355962"/>
    <w:rsid w:val="43D96577"/>
    <w:rsid w:val="461C1564"/>
    <w:rsid w:val="50B419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5"/>
    <w:semiHidden/>
    <w:unhideWhenUsed/>
    <w:qFormat/>
    <w:uiPriority w:val="0"/>
    <w:pPr>
      <w:jc w:val="left"/>
    </w:pPr>
  </w:style>
  <w:style w:type="paragraph" w:styleId="3">
    <w:name w:val="Plain Text"/>
    <w:basedOn w:val="1"/>
    <w:qFormat/>
    <w:uiPriority w:val="0"/>
    <w:pPr>
      <w:ind w:firstLine="420"/>
    </w:pPr>
    <w:rPr>
      <w:rFonts w:ascii="宋体" w:hAnsi="Courier New"/>
      <w:szCs w:val="20"/>
    </w:rPr>
  </w:style>
  <w:style w:type="paragraph" w:styleId="4">
    <w:name w:val="Date"/>
    <w:basedOn w:val="1"/>
    <w:next w:val="1"/>
    <w:qFormat/>
    <w:uiPriority w:val="0"/>
    <w:pPr>
      <w:ind w:left="100" w:leftChars="2500"/>
    </w:pPr>
  </w:style>
  <w:style w:type="paragraph" w:styleId="5">
    <w:name w:val="Balloon Text"/>
    <w:basedOn w:val="1"/>
    <w:link w:val="28"/>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36"/>
    <w:semiHidden/>
    <w:unhideWhenUsed/>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styleId="13">
    <w:name w:val="annotation reference"/>
    <w:basedOn w:val="11"/>
    <w:semiHidden/>
    <w:unhideWhenUsed/>
    <w:uiPriority w:val="0"/>
    <w:rPr>
      <w:sz w:val="21"/>
      <w:szCs w:val="21"/>
    </w:rPr>
  </w:style>
  <w:style w:type="paragraph" w:customStyle="1" w:styleId="14">
    <w:name w:val="段"/>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6">
    <w:name w:val="实施日期"/>
    <w:basedOn w:val="17"/>
    <w:qFormat/>
    <w:uiPriority w:val="0"/>
    <w:pPr>
      <w:framePr w:wrap="around" w:xAlign="right"/>
      <w:jc w:val="right"/>
    </w:pPr>
  </w:style>
  <w:style w:type="paragraph" w:customStyle="1" w:styleId="17">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8">
    <w:name w:val="标准书脚_奇数页"/>
    <w:uiPriority w:val="0"/>
    <w:pPr>
      <w:spacing w:before="120"/>
      <w:jc w:val="right"/>
    </w:pPr>
    <w:rPr>
      <w:rFonts w:ascii="Times New Roman" w:hAnsi="Times New Roman" w:eastAsia="宋体" w:cs="Times New Roman"/>
      <w:sz w:val="18"/>
      <w:lang w:val="en-US" w:eastAsia="zh-CN" w:bidi="ar-SA"/>
    </w:rPr>
  </w:style>
  <w:style w:type="paragraph" w:customStyle="1" w:styleId="1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0">
    <w:name w:val="标准书眉一"/>
    <w:uiPriority w:val="0"/>
    <w:pPr>
      <w:jc w:val="both"/>
    </w:pPr>
    <w:rPr>
      <w:rFonts w:ascii="Times New Roman" w:hAnsi="Times New Roman" w:eastAsia="宋体" w:cs="Times New Roman"/>
      <w:lang w:val="en-US" w:eastAsia="zh-CN" w:bidi="ar-SA"/>
    </w:rPr>
  </w:style>
  <w:style w:type="paragraph" w:customStyle="1" w:styleId="21">
    <w:name w:val="封面标准号2"/>
    <w:basedOn w:val="1"/>
    <w:uiPriority w:val="0"/>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22">
    <w:name w:val="封面标准代替信息"/>
    <w:basedOn w:val="21"/>
    <w:qFormat/>
    <w:uiPriority w:val="0"/>
    <w:pPr>
      <w:spacing w:before="57"/>
    </w:pPr>
    <w:rPr>
      <w:rFonts w:ascii="宋体"/>
      <w:sz w:val="21"/>
    </w:rPr>
  </w:style>
  <w:style w:type="paragraph" w:customStyle="1" w:styleId="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6">
    <w:name w:val="封面正文"/>
    <w:qFormat/>
    <w:uiPriority w:val="0"/>
    <w:pPr>
      <w:jc w:val="both"/>
    </w:pPr>
    <w:rPr>
      <w:rFonts w:ascii="Times New Roman" w:hAnsi="Times New Roman" w:eastAsia="宋体" w:cs="Times New Roman"/>
      <w:lang w:val="en-US" w:eastAsia="zh-CN" w:bidi="ar-SA"/>
    </w:rPr>
  </w:style>
  <w:style w:type="character" w:customStyle="1" w:styleId="27">
    <w:name w:val="页眉 字符"/>
    <w:basedOn w:val="11"/>
    <w:link w:val="7"/>
    <w:uiPriority w:val="0"/>
    <w:rPr>
      <w:kern w:val="2"/>
      <w:sz w:val="18"/>
      <w:szCs w:val="18"/>
    </w:rPr>
  </w:style>
  <w:style w:type="character" w:customStyle="1" w:styleId="28">
    <w:name w:val="批注框文本 字符"/>
    <w:basedOn w:val="11"/>
    <w:link w:val="5"/>
    <w:qFormat/>
    <w:uiPriority w:val="0"/>
    <w:rPr>
      <w:kern w:val="2"/>
      <w:sz w:val="18"/>
      <w:szCs w:val="18"/>
    </w:rPr>
  </w:style>
  <w:style w:type="character" w:styleId="29">
    <w:name w:val="Placeholder Text"/>
    <w:basedOn w:val="11"/>
    <w:semiHidden/>
    <w:qFormat/>
    <w:uiPriority w:val="99"/>
    <w:rPr>
      <w:color w:val="808080"/>
    </w:rPr>
  </w:style>
  <w:style w:type="paragraph" w:styleId="30">
    <w:name w:val="List Paragraph"/>
    <w:basedOn w:val="1"/>
    <w:qFormat/>
    <w:uiPriority w:val="34"/>
    <w:pPr>
      <w:ind w:firstLine="420" w:firstLineChars="200"/>
    </w:pPr>
  </w:style>
  <w:style w:type="paragraph" w:customStyle="1" w:styleId="31">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32">
    <w:name w:val="封面一致性程度标识"/>
    <w:qFormat/>
    <w:uiPriority w:val="99"/>
    <w:pPr>
      <w:spacing w:before="440" w:line="400" w:lineRule="exact"/>
      <w:jc w:val="center"/>
    </w:pPr>
    <w:rPr>
      <w:rFonts w:ascii="宋体" w:hAnsi="Times New Roman" w:eastAsia="宋体" w:cs="Times New Roman"/>
      <w:sz w:val="28"/>
      <w:lang w:val="en-US" w:eastAsia="zh-CN" w:bidi="ar-SA"/>
    </w:rPr>
  </w:style>
  <w:style w:type="paragraph" w:customStyle="1" w:styleId="33">
    <w:name w:val="一级条标题"/>
    <w:next w:val="14"/>
    <w:qFormat/>
    <w:uiPriority w:val="0"/>
    <w:pPr>
      <w:outlineLvl w:val="2"/>
    </w:pPr>
    <w:rPr>
      <w:rFonts w:ascii="Times New Roman" w:hAnsi="Times New Roman" w:eastAsia="黑体" w:cs="Times New Roman"/>
      <w:sz w:val="21"/>
      <w:lang w:val="en-US" w:eastAsia="zh-CN" w:bidi="ar-SA"/>
    </w:rPr>
  </w:style>
  <w:style w:type="paragraph" w:customStyle="1" w:styleId="34">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35">
    <w:name w:val="批注文字 字符"/>
    <w:basedOn w:val="11"/>
    <w:link w:val="2"/>
    <w:semiHidden/>
    <w:qFormat/>
    <w:uiPriority w:val="0"/>
    <w:rPr>
      <w:kern w:val="2"/>
      <w:sz w:val="21"/>
      <w:szCs w:val="24"/>
    </w:rPr>
  </w:style>
  <w:style w:type="character" w:customStyle="1" w:styleId="36">
    <w:name w:val="批注主题 字符"/>
    <w:basedOn w:val="35"/>
    <w:link w:val="8"/>
    <w:semiHidden/>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E33F1A-1ACE-4F86-9392-B013486CE91E}">
  <ds:schemaRefs/>
</ds:datastoreItem>
</file>

<file path=docProps/app.xml><?xml version="1.0" encoding="utf-8"?>
<Properties xmlns="http://schemas.openxmlformats.org/officeDocument/2006/extended-properties" xmlns:vt="http://schemas.openxmlformats.org/officeDocument/2006/docPropsVTypes">
  <Template>Normal.dotm</Template>
  <Company>dongjie</Company>
  <Pages>5</Pages>
  <Words>1502</Words>
  <Characters>1907</Characters>
  <Lines>15</Lines>
  <Paragraphs>4</Paragraphs>
  <TotalTime>177</TotalTime>
  <ScaleCrop>false</ScaleCrop>
  <LinksUpToDate>false</LinksUpToDate>
  <CharactersWithSpaces>2042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2018-01-31T08:36:00Z</dcterms:created>
  <dc:creator>dongjie</dc:creator>
  <cp:lastModifiedBy>靳婷婷</cp:lastModifiedBy>
  <cp:lastPrinted>2018-01-31T12:07:00Z</cp:lastPrinted>
  <dcterms:modified xsi:type="dcterms:W3CDTF">2022-11-07T06:53:55Z</dcterms:modified>
  <dc:title>中华人民共和国农业行业标准</dc:title>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B1449EDE75AE415B8B6C3471B2656282</vt:lpwstr>
  </property>
</Properties>
</file>